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eastAsia="黑体"/>
          <w:b/>
          <w:bCs/>
          <w:color w:val="auto"/>
          <w:sz w:val="36"/>
          <w:szCs w:val="36"/>
        </w:rPr>
      </w:pPr>
      <w:r>
        <w:rPr>
          <w:rFonts w:hint="eastAsia"/>
          <w:b/>
          <w:color w:val="auto"/>
          <w:sz w:val="36"/>
          <w:szCs w:val="36"/>
          <w:lang w:eastAsia="zh-CN"/>
        </w:rPr>
        <w:t>浙江中天东方氟硅材料股份有限公司</w:t>
      </w:r>
      <w:r>
        <w:rPr>
          <w:rFonts w:hint="eastAsia"/>
          <w:b/>
          <w:color w:val="auto"/>
          <w:sz w:val="36"/>
          <w:szCs w:val="36"/>
        </w:rPr>
        <w:t>10kt</w:t>
      </w:r>
      <w:r>
        <w:rPr>
          <w:rFonts w:hint="eastAsia"/>
          <w:b/>
          <w:color w:val="auto"/>
          <w:sz w:val="36"/>
          <w:szCs w:val="36"/>
          <w:lang w:val="en-US" w:eastAsia="zh-CN"/>
        </w:rPr>
        <w:t>/</w:t>
      </w:r>
      <w:r>
        <w:rPr>
          <w:rFonts w:hint="eastAsia"/>
          <w:b/>
          <w:color w:val="auto"/>
          <w:sz w:val="36"/>
          <w:szCs w:val="36"/>
        </w:rPr>
        <w:t>a固废综合利用（提铜）项目</w:t>
      </w:r>
      <w:r>
        <w:rPr>
          <w:b/>
          <w:color w:val="auto"/>
          <w:sz w:val="36"/>
          <w:szCs w:val="36"/>
        </w:rPr>
        <w:t>环境影响评价公告</w:t>
      </w:r>
    </w:p>
    <w:p>
      <w:pPr>
        <w:keepNext w:val="0"/>
        <w:keepLines w:val="0"/>
        <w:pageBreakBefore w:val="0"/>
        <w:widowControl/>
        <w:kinsoku/>
        <w:wordWrap/>
        <w:overflowPunct/>
        <w:topLinePunct w:val="0"/>
        <w:bidi w:val="0"/>
        <w:spacing w:line="360" w:lineRule="auto"/>
        <w:jc w:val="left"/>
        <w:rPr>
          <w:rFonts w:ascii="宋体" w:hAnsi="宋体" w:eastAsia="宋体" w:cs="宋体"/>
          <w:color w:val="auto"/>
          <w:kern w:val="0"/>
          <w:sz w:val="30"/>
          <w:szCs w:val="30"/>
        </w:rPr>
      </w:pPr>
      <w:r>
        <w:rPr>
          <w:rFonts w:hint="eastAsia" w:ascii="宋体" w:hAnsi="宋体" w:eastAsia="宋体" w:cs="宋体"/>
          <w:color w:val="auto"/>
          <w:kern w:val="0"/>
          <w:sz w:val="30"/>
          <w:szCs w:val="30"/>
        </w:rPr>
        <w:t> </w:t>
      </w:r>
      <w:r>
        <w:rPr>
          <w:rFonts w:hint="eastAsia" w:ascii="宋体" w:hAnsi="宋体" w:eastAsia="宋体" w:cs="宋体"/>
          <w:b/>
          <w:bCs/>
          <w:color w:val="auto"/>
          <w:kern w:val="0"/>
          <w:sz w:val="30"/>
          <w:szCs w:val="30"/>
        </w:rPr>
        <w:t>一、建设项目情基本情况</w:t>
      </w:r>
    </w:p>
    <w:p>
      <w:pPr>
        <w:spacing w:line="360" w:lineRule="auto"/>
        <w:ind w:firstLine="480" w:firstLineChars="200"/>
        <w:rPr>
          <w:rFonts w:hint="eastAsia" w:ascii="Times New Roman" w:hAnsi="Times New Roman" w:eastAsia="宋体" w:cs="Times New Roman"/>
          <w:caps w:val="0"/>
          <w:smallCaps w:val="0"/>
          <w:color w:val="auto"/>
          <w:kern w:val="0"/>
          <w:sz w:val="24"/>
          <w:szCs w:val="24"/>
          <w:shd w:val="clear" w:color="auto" w:fill="auto"/>
        </w:rPr>
      </w:pPr>
      <w:r>
        <w:rPr>
          <w:rFonts w:hint="eastAsia" w:ascii="Times New Roman" w:hAnsi="Times New Roman" w:eastAsia="宋体" w:cs="Times New Roman"/>
          <w:color w:val="auto"/>
          <w:kern w:val="0"/>
          <w:sz w:val="24"/>
          <w:szCs w:val="24"/>
        </w:rPr>
        <w:t>（1）项目名称：</w:t>
      </w:r>
      <w:r>
        <w:rPr>
          <w:rFonts w:hint="eastAsia" w:ascii="Times New Roman" w:hAnsi="Times New Roman" w:eastAsia="宋体" w:cs="Times New Roman"/>
          <w:color w:val="auto"/>
          <w:kern w:val="0"/>
          <w:sz w:val="24"/>
          <w:szCs w:val="24"/>
          <w:lang w:eastAsia="zh-CN"/>
        </w:rPr>
        <w:t>浙江中天东方氟硅材料股份有限公司</w:t>
      </w:r>
      <w:r>
        <w:rPr>
          <w:rFonts w:hint="eastAsia" w:ascii="Times New Roman" w:hAnsi="Times New Roman" w:eastAsia="宋体" w:cs="Times New Roman"/>
          <w:color w:val="auto"/>
          <w:kern w:val="0"/>
          <w:sz w:val="24"/>
          <w:szCs w:val="24"/>
        </w:rPr>
        <w:t>10kt／a固废综合利用（提铜）项目</w:t>
      </w:r>
      <w:bookmarkStart w:id="2" w:name="_GoBack"/>
      <w:bookmarkEnd w:id="2"/>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color w:val="auto"/>
          <w:kern w:val="0"/>
          <w:sz w:val="24"/>
          <w:szCs w:val="24"/>
          <w:lang w:eastAsia="zh-CN"/>
        </w:rPr>
      </w:pPr>
      <w:r>
        <w:rPr>
          <w:rFonts w:hint="eastAsia" w:ascii="Times New Roman" w:hAnsi="Times New Roman" w:eastAsia="宋体" w:cs="Times New Roman"/>
          <w:color w:val="auto"/>
          <w:kern w:val="0"/>
          <w:sz w:val="24"/>
          <w:szCs w:val="24"/>
        </w:rPr>
        <w:t>（2）</w:t>
      </w:r>
      <w:r>
        <w:rPr>
          <w:rFonts w:ascii="Times New Roman" w:hAnsi="Times New Roman" w:eastAsia="宋体" w:cs="Times New Roman"/>
          <w:color w:val="auto"/>
          <w:kern w:val="0"/>
          <w:sz w:val="24"/>
          <w:szCs w:val="24"/>
        </w:rPr>
        <w:t>建设地点</w:t>
      </w:r>
      <w:r>
        <w:rPr>
          <w:rFonts w:hint="eastAsia" w:ascii="Times New Roman" w:hAnsi="Times New Roman" w:eastAsia="宋体" w:cs="Times New Roman"/>
          <w:color w:val="auto"/>
          <w:kern w:val="0"/>
          <w:sz w:val="24"/>
          <w:szCs w:val="24"/>
        </w:rPr>
        <w:t>：</w:t>
      </w:r>
      <w:r>
        <w:rPr>
          <w:rFonts w:hint="eastAsia" w:ascii="Times New Roman" w:hAnsi="Times New Roman" w:eastAsia="宋体" w:cs="Times New Roman"/>
          <w:color w:val="auto"/>
          <w:kern w:val="0"/>
          <w:sz w:val="24"/>
          <w:szCs w:val="24"/>
          <w:lang w:eastAsia="zh-CN"/>
        </w:rPr>
        <w:t>浙江省衢州市绿色产业集聚区华荫北路20号</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cs="Times New Roman"/>
          <w:color w:val="auto"/>
          <w:kern w:val="0"/>
          <w:sz w:val="24"/>
          <w:szCs w:val="24"/>
        </w:rPr>
      </w:pPr>
      <w:r>
        <w:rPr>
          <w:rFonts w:ascii="Times New Roman" w:hAnsi="Times New Roman" w:eastAsia="宋体" w:cs="Times New Roman"/>
          <w:color w:val="auto"/>
          <w:kern w:val="0"/>
          <w:sz w:val="24"/>
          <w:szCs w:val="24"/>
        </w:rPr>
        <w:t>（3）行业类别：</w:t>
      </w:r>
      <w:r>
        <w:rPr>
          <w:rFonts w:hint="eastAsia" w:ascii="Times New Roman" w:hAnsi="Times New Roman" w:eastAsia="宋体" w:cs="Times New Roman"/>
          <w:color w:val="auto"/>
          <w:kern w:val="0"/>
          <w:sz w:val="24"/>
          <w:szCs w:val="24"/>
        </w:rPr>
        <w:t>N7724危险废物治理</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color w:val="auto"/>
          <w:kern w:val="0"/>
          <w:sz w:val="24"/>
          <w:szCs w:val="24"/>
          <w:lang w:eastAsia="zh-CN"/>
        </w:rPr>
      </w:pPr>
      <w:r>
        <w:rPr>
          <w:rFonts w:ascii="Times New Roman" w:hAnsi="Times New Roman" w:eastAsia="宋体" w:cs="Times New Roman"/>
          <w:color w:val="auto"/>
          <w:kern w:val="0"/>
          <w:sz w:val="24"/>
          <w:szCs w:val="24"/>
        </w:rPr>
        <w:t>（4）建设规模：</w:t>
      </w:r>
      <w:r>
        <w:rPr>
          <w:rFonts w:hint="eastAsia" w:ascii="Times New Roman" w:hAnsi="Times New Roman" w:eastAsia="宋体" w:cs="Times New Roman"/>
          <w:color w:val="auto"/>
          <w:kern w:val="0"/>
          <w:sz w:val="24"/>
          <w:szCs w:val="24"/>
        </w:rPr>
        <w:t>建</w:t>
      </w:r>
      <w:r>
        <w:rPr>
          <w:rFonts w:hint="eastAsia" w:ascii="Times New Roman" w:hAnsi="Times New Roman" w:eastAsia="宋体" w:cs="Times New Roman"/>
          <w:color w:val="auto"/>
          <w:kern w:val="0"/>
          <w:sz w:val="24"/>
          <w:szCs w:val="24"/>
          <w:lang w:val="en-US" w:eastAsia="zh-CN"/>
        </w:rPr>
        <w:t>设</w:t>
      </w:r>
      <w:r>
        <w:rPr>
          <w:rFonts w:hint="eastAsia" w:ascii="Times New Roman" w:hAnsi="Times New Roman" w:eastAsia="宋体" w:cs="Times New Roman"/>
          <w:color w:val="auto"/>
          <w:kern w:val="0"/>
          <w:sz w:val="24"/>
          <w:szCs w:val="24"/>
        </w:rPr>
        <w:t>1万吨/年浆渣处理能力的固废综合利用(提铜)装置</w:t>
      </w:r>
      <w:r>
        <w:rPr>
          <w:rFonts w:hint="eastAsia" w:ascii="Times New Roman" w:hAnsi="Times New Roman" w:eastAsia="宋体" w:cs="Times New Roman"/>
          <w:color w:val="auto"/>
          <w:kern w:val="0"/>
          <w:sz w:val="24"/>
          <w:szCs w:val="24"/>
          <w:lang w:eastAsia="zh-CN"/>
        </w:rPr>
        <w:t>。</w:t>
      </w:r>
    </w:p>
    <w:p>
      <w:pPr>
        <w:keepNext w:val="0"/>
        <w:keepLines w:val="0"/>
        <w:pageBreakBefore w:val="0"/>
        <w:widowControl/>
        <w:kinsoku/>
        <w:wordWrap/>
        <w:overflowPunct/>
        <w:topLinePunct w:val="0"/>
        <w:bidi w:val="0"/>
        <w:spacing w:line="360" w:lineRule="auto"/>
        <w:jc w:val="left"/>
        <w:rPr>
          <w:rFonts w:ascii="宋体" w:hAnsi="宋体" w:eastAsia="宋体" w:cs="宋体"/>
          <w:b/>
          <w:color w:val="auto"/>
          <w:kern w:val="0"/>
          <w:sz w:val="30"/>
          <w:szCs w:val="30"/>
        </w:rPr>
      </w:pPr>
      <w:r>
        <w:rPr>
          <w:rFonts w:hint="eastAsia" w:ascii="宋体" w:hAnsi="宋体" w:eastAsia="宋体" w:cs="宋体"/>
          <w:b/>
          <w:color w:val="auto"/>
          <w:kern w:val="0"/>
          <w:sz w:val="30"/>
          <w:szCs w:val="30"/>
        </w:rPr>
        <w:t>二、环境影响评价范围内主要敏感目标分布情况</w:t>
      </w:r>
    </w:p>
    <w:p>
      <w:pPr>
        <w:keepNext w:val="0"/>
        <w:keepLines w:val="0"/>
        <w:pageBreakBefore w:val="0"/>
        <w:widowControl/>
        <w:kinsoku/>
        <w:wordWrap/>
        <w:overflowPunct/>
        <w:topLinePunct w:val="0"/>
        <w:bidi w:val="0"/>
        <w:spacing w:line="360" w:lineRule="auto"/>
        <w:ind w:firstLine="480" w:firstLineChars="200"/>
        <w:jc w:val="left"/>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本项目主要保护对象情况见表1。</w:t>
      </w:r>
    </w:p>
    <w:p>
      <w:pPr>
        <w:keepNext w:val="0"/>
        <w:keepLines w:val="0"/>
        <w:pageBreakBefore w:val="0"/>
        <w:widowControl/>
        <w:kinsoku/>
        <w:wordWrap/>
        <w:overflowPunct/>
        <w:topLinePunct w:val="0"/>
        <w:bidi w:val="0"/>
        <w:spacing w:line="240" w:lineRule="auto"/>
        <w:ind w:firstLine="198"/>
        <w:jc w:val="center"/>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表</w:t>
      </w:r>
      <w:r>
        <w:rPr>
          <w:rFonts w:ascii="Times New Roman" w:hAnsi="Times New Roman" w:eastAsia="宋体" w:cs="Times New Roman"/>
          <w:b/>
          <w:color w:val="auto"/>
          <w:szCs w:val="21"/>
        </w:rPr>
        <w:t>1 评价范围内主要敏感目标分布情况</w:t>
      </w:r>
    </w:p>
    <w:tbl>
      <w:tblPr>
        <w:tblStyle w:val="10"/>
        <w:tblW w:w="97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308"/>
        <w:gridCol w:w="1045"/>
        <w:gridCol w:w="1185"/>
        <w:gridCol w:w="835"/>
        <w:gridCol w:w="1407"/>
        <w:gridCol w:w="1459"/>
        <w:gridCol w:w="702"/>
        <w:gridCol w:w="1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restart"/>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18"/>
              </w:rPr>
              <w:t>环境要素</w:t>
            </w:r>
          </w:p>
        </w:tc>
        <w:tc>
          <w:tcPr>
            <w:tcW w:w="1308" w:type="dxa"/>
            <w:vMerge w:val="restart"/>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环境保护目标</w:t>
            </w:r>
          </w:p>
        </w:tc>
        <w:tc>
          <w:tcPr>
            <w:tcW w:w="2230" w:type="dxa"/>
            <w:gridSpan w:val="2"/>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18"/>
              </w:rPr>
              <w:t>UTM</w:t>
            </w:r>
            <w:r>
              <w:rPr>
                <w:rFonts w:hint="default" w:ascii="Times New Roman" w:hAnsi="Times New Roman" w:eastAsia="宋体" w:cs="Times New Roman"/>
                <w:color w:val="auto"/>
                <w:sz w:val="18"/>
                <w:szCs w:val="21"/>
              </w:rPr>
              <w:t>坐标/m</w:t>
            </w:r>
          </w:p>
        </w:tc>
        <w:tc>
          <w:tcPr>
            <w:tcW w:w="835" w:type="dxa"/>
            <w:vMerge w:val="restart"/>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保护对象</w:t>
            </w:r>
          </w:p>
        </w:tc>
        <w:tc>
          <w:tcPr>
            <w:tcW w:w="1407" w:type="dxa"/>
            <w:vMerge w:val="restart"/>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保护内容</w:t>
            </w:r>
          </w:p>
        </w:tc>
        <w:tc>
          <w:tcPr>
            <w:tcW w:w="1459" w:type="dxa"/>
            <w:vMerge w:val="restart"/>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环境功能区</w:t>
            </w:r>
          </w:p>
        </w:tc>
        <w:tc>
          <w:tcPr>
            <w:tcW w:w="702" w:type="dxa"/>
            <w:vMerge w:val="restart"/>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相对厂址方位</w:t>
            </w:r>
          </w:p>
        </w:tc>
        <w:tc>
          <w:tcPr>
            <w:tcW w:w="1012" w:type="dxa"/>
            <w:vMerge w:val="restart"/>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相对厂界距离/m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1308"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1045"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X</w:t>
            </w:r>
          </w:p>
        </w:tc>
        <w:tc>
          <w:tcPr>
            <w:tcW w:w="1185"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Y</w:t>
            </w:r>
          </w:p>
        </w:tc>
        <w:tc>
          <w:tcPr>
            <w:tcW w:w="835"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1407"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1012"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1" w:type="dxa"/>
            <w:vMerge w:val="restart"/>
            <w:noWrap w:val="0"/>
            <w:vAlign w:val="center"/>
          </w:tcPr>
          <w:p>
            <w:pPr>
              <w:widowControl/>
              <w:adjustRightInd w:val="0"/>
              <w:snapToGrid w:val="0"/>
              <w:jc w:val="center"/>
              <w:rPr>
                <w:rFonts w:hint="default" w:ascii="Times New Roman" w:hAnsi="Times New Roman" w:eastAsia="宋体" w:cs="Times New Roman"/>
                <w:color w:val="auto"/>
                <w:sz w:val="18"/>
                <w:szCs w:val="22"/>
              </w:rPr>
            </w:pPr>
            <w:r>
              <w:rPr>
                <w:rFonts w:hint="default" w:ascii="Times New Roman" w:hAnsi="Times New Roman" w:eastAsia="宋体" w:cs="Times New Roman"/>
                <w:color w:val="auto"/>
                <w:sz w:val="18"/>
                <w:szCs w:val="18"/>
              </w:rPr>
              <w:t>环境空气</w:t>
            </w: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2"/>
              </w:rPr>
              <w:t>黄家村</w:t>
            </w:r>
          </w:p>
        </w:tc>
        <w:tc>
          <w:tcPr>
            <w:tcW w:w="1045" w:type="dxa"/>
            <w:noWrap w:val="0"/>
            <w:vAlign w:val="center"/>
          </w:tcPr>
          <w:p>
            <w:pPr>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rPr>
              <w:t>679776</w:t>
            </w:r>
          </w:p>
        </w:tc>
        <w:tc>
          <w:tcPr>
            <w:tcW w:w="1185" w:type="dxa"/>
            <w:noWrap w:val="0"/>
            <w:vAlign w:val="center"/>
          </w:tcPr>
          <w:p>
            <w:pPr>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rPr>
              <w:t>3199364</w:t>
            </w:r>
          </w:p>
        </w:tc>
        <w:tc>
          <w:tcPr>
            <w:tcW w:w="835" w:type="dxa"/>
            <w:noWrap w:val="0"/>
            <w:vAlign w:val="center"/>
          </w:tcPr>
          <w:p>
            <w:pPr>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lang w:eastAsia="en-US"/>
              </w:rPr>
              <w:t>约375户</w:t>
            </w:r>
          </w:p>
        </w:tc>
        <w:tc>
          <w:tcPr>
            <w:tcW w:w="1459" w:type="dxa"/>
            <w:vMerge w:val="restart"/>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18"/>
              </w:rPr>
              <w:t>二类功能区</w:t>
            </w: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2"/>
              </w:rPr>
              <w:t>十五里村</w:t>
            </w:r>
          </w:p>
        </w:tc>
        <w:tc>
          <w:tcPr>
            <w:tcW w:w="104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679593</w:t>
            </w:r>
          </w:p>
        </w:tc>
        <w:tc>
          <w:tcPr>
            <w:tcW w:w="118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3199258</w:t>
            </w:r>
          </w:p>
        </w:tc>
        <w:tc>
          <w:tcPr>
            <w:tcW w:w="835" w:type="dxa"/>
            <w:noWrap w:val="0"/>
            <w:vAlign w:val="center"/>
          </w:tcPr>
          <w:p>
            <w:pPr>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lang w:eastAsia="en-US"/>
              </w:rPr>
              <w:t>约3</w:t>
            </w:r>
            <w:r>
              <w:rPr>
                <w:rFonts w:hint="default" w:ascii="Times New Roman" w:hAnsi="Times New Roman" w:eastAsia="宋体" w:cs="Times New Roman"/>
                <w:color w:val="auto"/>
                <w:sz w:val="18"/>
                <w:szCs w:val="18"/>
              </w:rPr>
              <w:t>00</w:t>
            </w:r>
            <w:r>
              <w:rPr>
                <w:rFonts w:hint="default" w:ascii="Times New Roman" w:hAnsi="Times New Roman" w:eastAsia="宋体" w:cs="Times New Roman"/>
                <w:color w:val="auto"/>
                <w:sz w:val="18"/>
                <w:szCs w:val="18"/>
                <w:lang w:eastAsia="en-US"/>
              </w:rPr>
              <w:t>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NW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969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十八里村</w:t>
            </w:r>
          </w:p>
        </w:tc>
        <w:tc>
          <w:tcPr>
            <w:tcW w:w="104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678864</w:t>
            </w:r>
          </w:p>
        </w:tc>
        <w:tc>
          <w:tcPr>
            <w:tcW w:w="1185" w:type="dxa"/>
            <w:noWrap w:val="0"/>
            <w:vAlign w:val="center"/>
          </w:tcPr>
          <w:p>
            <w:pPr>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rPr>
              <w:t>3197706</w:t>
            </w:r>
          </w:p>
        </w:tc>
        <w:tc>
          <w:tcPr>
            <w:tcW w:w="835" w:type="dxa"/>
            <w:noWrap w:val="0"/>
            <w:vAlign w:val="center"/>
          </w:tcPr>
          <w:p>
            <w:pPr>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lang w:eastAsia="en-US"/>
              </w:rPr>
              <w:t>约80户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SW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1140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王千秋新村</w:t>
            </w:r>
          </w:p>
        </w:tc>
        <w:tc>
          <w:tcPr>
            <w:tcW w:w="104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679673</w:t>
            </w:r>
          </w:p>
        </w:tc>
        <w:tc>
          <w:tcPr>
            <w:tcW w:w="118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3199787</w:t>
            </w:r>
          </w:p>
        </w:tc>
        <w:tc>
          <w:tcPr>
            <w:tcW w:w="835" w:type="dxa"/>
            <w:noWrap w:val="0"/>
            <w:vAlign w:val="center"/>
          </w:tcPr>
          <w:p>
            <w:pPr>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约550人</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NW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1350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杨家突村</w:t>
            </w:r>
          </w:p>
        </w:tc>
        <w:tc>
          <w:tcPr>
            <w:tcW w:w="104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678835</w:t>
            </w:r>
          </w:p>
        </w:tc>
        <w:tc>
          <w:tcPr>
            <w:tcW w:w="118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3197113</w:t>
            </w:r>
          </w:p>
        </w:tc>
        <w:tc>
          <w:tcPr>
            <w:tcW w:w="83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约</w:t>
            </w:r>
            <w:r>
              <w:rPr>
                <w:rFonts w:hint="default" w:ascii="Times New Roman" w:hAnsi="Times New Roman" w:eastAsia="宋体" w:cs="Times New Roman"/>
                <w:color w:val="auto"/>
                <w:sz w:val="18"/>
                <w:szCs w:val="18"/>
              </w:rPr>
              <w:t>260</w:t>
            </w:r>
            <w:r>
              <w:rPr>
                <w:rFonts w:hint="default" w:ascii="Times New Roman" w:hAnsi="Times New Roman" w:eastAsia="宋体" w:cs="Times New Roman"/>
                <w:color w:val="auto"/>
                <w:sz w:val="18"/>
                <w:szCs w:val="18"/>
                <w:lang w:eastAsia="en-US"/>
              </w:rPr>
              <w:t>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SW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1377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后川</w:t>
            </w:r>
          </w:p>
        </w:tc>
        <w:tc>
          <w:tcPr>
            <w:tcW w:w="104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679071</w:t>
            </w:r>
          </w:p>
        </w:tc>
        <w:tc>
          <w:tcPr>
            <w:tcW w:w="118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3199365</w:t>
            </w:r>
          </w:p>
        </w:tc>
        <w:tc>
          <w:tcPr>
            <w:tcW w:w="83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约</w:t>
            </w:r>
            <w:r>
              <w:rPr>
                <w:rFonts w:hint="default" w:ascii="Times New Roman" w:hAnsi="Times New Roman" w:eastAsia="宋体" w:cs="Times New Roman"/>
                <w:color w:val="auto"/>
                <w:sz w:val="18"/>
                <w:szCs w:val="18"/>
              </w:rPr>
              <w:t>220</w:t>
            </w:r>
            <w:r>
              <w:rPr>
                <w:rFonts w:hint="default" w:ascii="Times New Roman" w:hAnsi="Times New Roman" w:eastAsia="宋体" w:cs="Times New Roman"/>
                <w:color w:val="auto"/>
                <w:sz w:val="18"/>
                <w:szCs w:val="18"/>
                <w:lang w:eastAsia="en-US"/>
              </w:rPr>
              <w:t>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NW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1426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下卢新村</w:t>
            </w:r>
          </w:p>
        </w:tc>
        <w:tc>
          <w:tcPr>
            <w:tcW w:w="104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679458</w:t>
            </w:r>
          </w:p>
        </w:tc>
        <w:tc>
          <w:tcPr>
            <w:tcW w:w="118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3199892</w:t>
            </w:r>
          </w:p>
        </w:tc>
        <w:tc>
          <w:tcPr>
            <w:tcW w:w="835" w:type="dxa"/>
            <w:noWrap w:val="0"/>
            <w:vAlign w:val="center"/>
          </w:tcPr>
          <w:p>
            <w:pPr>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rPr>
              <w:t>约1200人</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NW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1440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2"/>
              </w:rPr>
              <w:t>宣家村</w:t>
            </w:r>
          </w:p>
        </w:tc>
        <w:tc>
          <w:tcPr>
            <w:tcW w:w="104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681625</w:t>
            </w:r>
          </w:p>
        </w:tc>
        <w:tc>
          <w:tcPr>
            <w:tcW w:w="118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3199596</w:t>
            </w:r>
          </w:p>
        </w:tc>
        <w:tc>
          <w:tcPr>
            <w:tcW w:w="83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约</w:t>
            </w:r>
            <w:r>
              <w:rPr>
                <w:rFonts w:hint="default" w:ascii="Times New Roman" w:hAnsi="Times New Roman" w:eastAsia="宋体" w:cs="Times New Roman"/>
                <w:color w:val="auto"/>
                <w:sz w:val="18"/>
                <w:szCs w:val="18"/>
              </w:rPr>
              <w:t>380</w:t>
            </w:r>
            <w:r>
              <w:rPr>
                <w:rFonts w:hint="default" w:ascii="Times New Roman" w:hAnsi="Times New Roman" w:eastAsia="宋体" w:cs="Times New Roman"/>
                <w:color w:val="auto"/>
                <w:sz w:val="18"/>
                <w:szCs w:val="18"/>
                <w:lang w:eastAsia="en-US"/>
              </w:rPr>
              <w:t>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NE</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1517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山底村</w:t>
            </w:r>
          </w:p>
        </w:tc>
        <w:tc>
          <w:tcPr>
            <w:tcW w:w="104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679984</w:t>
            </w:r>
          </w:p>
        </w:tc>
        <w:tc>
          <w:tcPr>
            <w:tcW w:w="118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3196034</w:t>
            </w:r>
          </w:p>
        </w:tc>
        <w:tc>
          <w:tcPr>
            <w:tcW w:w="83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约</w:t>
            </w:r>
            <w:r>
              <w:rPr>
                <w:rFonts w:hint="default" w:ascii="Times New Roman" w:hAnsi="Times New Roman" w:eastAsia="宋体" w:cs="Times New Roman"/>
                <w:color w:val="auto"/>
                <w:sz w:val="18"/>
                <w:szCs w:val="18"/>
              </w:rPr>
              <w:t>170</w:t>
            </w:r>
            <w:r>
              <w:rPr>
                <w:rFonts w:hint="default" w:ascii="Times New Roman" w:hAnsi="Times New Roman" w:eastAsia="宋体" w:cs="Times New Roman"/>
                <w:color w:val="auto"/>
                <w:sz w:val="18"/>
                <w:szCs w:val="18"/>
                <w:lang w:eastAsia="en-US"/>
              </w:rPr>
              <w:t>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S</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1704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路边村</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678689</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3196782</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约60户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SW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1816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坑西村</w:t>
            </w:r>
          </w:p>
        </w:tc>
        <w:tc>
          <w:tcPr>
            <w:tcW w:w="104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678773</w:t>
            </w:r>
          </w:p>
        </w:tc>
        <w:tc>
          <w:tcPr>
            <w:tcW w:w="118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3199770</w:t>
            </w:r>
          </w:p>
        </w:tc>
        <w:tc>
          <w:tcPr>
            <w:tcW w:w="83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约</w:t>
            </w:r>
            <w:r>
              <w:rPr>
                <w:rFonts w:hint="default" w:ascii="Times New Roman" w:hAnsi="Times New Roman" w:eastAsia="宋体" w:cs="Times New Roman"/>
                <w:color w:val="auto"/>
                <w:sz w:val="18"/>
                <w:szCs w:val="18"/>
              </w:rPr>
              <w:t>200</w:t>
            </w:r>
            <w:r>
              <w:rPr>
                <w:rFonts w:hint="default" w:ascii="Times New Roman" w:hAnsi="Times New Roman" w:eastAsia="宋体" w:cs="Times New Roman"/>
                <w:color w:val="auto"/>
                <w:sz w:val="18"/>
                <w:szCs w:val="18"/>
                <w:lang w:eastAsia="en-US"/>
              </w:rPr>
              <w:t>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NW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1944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荒塘底村</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679176</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3195997</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18"/>
              </w:rPr>
              <w:t>约80户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SW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2133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新铺村</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681959</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3200368</w:t>
            </w:r>
          </w:p>
        </w:tc>
        <w:tc>
          <w:tcPr>
            <w:tcW w:w="83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约</w:t>
            </w:r>
            <w:r>
              <w:rPr>
                <w:rFonts w:hint="default" w:ascii="Times New Roman" w:hAnsi="Times New Roman" w:eastAsia="宋体" w:cs="Times New Roman"/>
                <w:color w:val="auto"/>
                <w:sz w:val="18"/>
                <w:szCs w:val="18"/>
              </w:rPr>
              <w:t>240</w:t>
            </w:r>
            <w:r>
              <w:rPr>
                <w:rFonts w:hint="default" w:ascii="Times New Roman" w:hAnsi="Times New Roman" w:eastAsia="宋体" w:cs="Times New Roman"/>
                <w:color w:val="auto"/>
                <w:sz w:val="18"/>
                <w:szCs w:val="18"/>
                <w:lang w:eastAsia="en-US"/>
              </w:rPr>
              <w:t>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NE</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2147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restart"/>
            <w:noWrap w:val="0"/>
            <w:vAlign w:val="center"/>
          </w:tcPr>
          <w:p>
            <w:pPr>
              <w:widowControl/>
              <w:adjustRightInd w:val="0"/>
              <w:snapToGrid w:val="0"/>
              <w:jc w:val="center"/>
              <w:rPr>
                <w:rFonts w:hint="default" w:ascii="Times New Roman" w:hAnsi="Times New Roman" w:eastAsia="宋体" w:cs="Times New Roman"/>
                <w:color w:val="auto"/>
                <w:sz w:val="18"/>
                <w:szCs w:val="22"/>
              </w:rPr>
            </w:pPr>
            <w:r>
              <w:rPr>
                <w:rFonts w:hint="default" w:ascii="Times New Roman" w:hAnsi="Times New Roman" w:eastAsia="宋体" w:cs="Times New Roman"/>
                <w:color w:val="auto"/>
                <w:sz w:val="18"/>
                <w:szCs w:val="22"/>
              </w:rPr>
              <w:t>环境风险（包括大气保护目标）</w:t>
            </w: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里珠村</w:t>
            </w:r>
          </w:p>
        </w:tc>
        <w:tc>
          <w:tcPr>
            <w:tcW w:w="104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677414</w:t>
            </w:r>
          </w:p>
        </w:tc>
        <w:tc>
          <w:tcPr>
            <w:tcW w:w="118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3197544</w:t>
            </w:r>
          </w:p>
        </w:tc>
        <w:tc>
          <w:tcPr>
            <w:tcW w:w="83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约494户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SW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2621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pStyle w:val="6"/>
              <w:snapToGrid w:val="0"/>
              <w:spacing w:before="0" w:after="0"/>
              <w:jc w:val="center"/>
              <w:rPr>
                <w:rFonts w:hint="default" w:ascii="Times New Roman" w:hAnsi="Times New Roman" w:eastAsia="宋体" w:cs="Times New Roman"/>
                <w:b w:val="0"/>
                <w:bCs w:val="0"/>
                <w:caps w:val="0"/>
                <w:color w:val="auto"/>
                <w:sz w:val="18"/>
                <w:szCs w:val="18"/>
              </w:rPr>
            </w:pPr>
            <w:r>
              <w:rPr>
                <w:rFonts w:hint="default" w:ascii="Times New Roman" w:hAnsi="Times New Roman" w:eastAsia="宋体" w:cs="Times New Roman"/>
                <w:b w:val="0"/>
                <w:bCs w:val="0"/>
                <w:caps w:val="0"/>
                <w:color w:val="auto"/>
                <w:sz w:val="18"/>
                <w:szCs w:val="18"/>
              </w:rPr>
              <w:t>碧桂园南堂苑</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 xml:space="preserve">681780.21 </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 xml:space="preserve">3201087.08 </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约1500人</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NE</w:t>
            </w:r>
          </w:p>
        </w:tc>
        <w:tc>
          <w:tcPr>
            <w:tcW w:w="101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2708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廿里镇</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678630</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3195459</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21"/>
                <w:lang w:eastAsia="en-US"/>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约1.5万人</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SW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2764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廿里中心小学</w:t>
            </w:r>
          </w:p>
        </w:tc>
        <w:tc>
          <w:tcPr>
            <w:tcW w:w="1045"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678905</w:t>
            </w:r>
          </w:p>
        </w:tc>
        <w:tc>
          <w:tcPr>
            <w:tcW w:w="1185"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3195278</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rPr>
              <w:t>学校</w:t>
            </w:r>
          </w:p>
        </w:tc>
        <w:tc>
          <w:tcPr>
            <w:tcW w:w="1407" w:type="dxa"/>
            <w:noWrap w:val="0"/>
            <w:vAlign w:val="center"/>
          </w:tcPr>
          <w:p>
            <w:pPr>
              <w:widowControl/>
              <w:adjustRightInd w:val="0"/>
              <w:snapToGrid w:val="0"/>
              <w:jc w:val="center"/>
              <w:rPr>
                <w:rFonts w:hint="default" w:ascii="Times New Roman" w:hAnsi="Times New Roman" w:eastAsia="宋体" w:cs="Times New Roman"/>
                <w:color w:val="auto"/>
                <w:sz w:val="18"/>
                <w:szCs w:val="21"/>
                <w:lang w:val="en-US" w:eastAsia="zh-CN"/>
              </w:rPr>
            </w:pPr>
            <w:r>
              <w:rPr>
                <w:rFonts w:hint="default" w:ascii="Times New Roman" w:hAnsi="Times New Roman" w:eastAsia="宋体" w:cs="Times New Roman"/>
                <w:color w:val="auto"/>
                <w:sz w:val="18"/>
                <w:szCs w:val="21"/>
                <w:lang w:val="en-US" w:eastAsia="zh-CN"/>
              </w:rPr>
              <w:t>约1426人</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SW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lang w:val="en-US" w:eastAsia="zh-CN"/>
              </w:rPr>
            </w:pPr>
            <w:r>
              <w:rPr>
                <w:rFonts w:hint="default" w:ascii="Times New Roman" w:hAnsi="Times New Roman" w:eastAsia="宋体" w:cs="Times New Roman"/>
                <w:color w:val="auto"/>
                <w:sz w:val="18"/>
                <w:szCs w:val="21"/>
                <w:lang w:val="en-US" w:eastAsia="zh-CN"/>
              </w:rPr>
              <w:t>2977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衢江廿里初级中学</w:t>
            </w:r>
          </w:p>
        </w:tc>
        <w:tc>
          <w:tcPr>
            <w:tcW w:w="1045"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678702</w:t>
            </w:r>
          </w:p>
        </w:tc>
        <w:tc>
          <w:tcPr>
            <w:tcW w:w="1185"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3195134</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rPr>
              <w:t>学校</w:t>
            </w:r>
          </w:p>
        </w:tc>
        <w:tc>
          <w:tcPr>
            <w:tcW w:w="1407"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lang w:val="en-US" w:eastAsia="zh-CN"/>
              </w:rPr>
              <w:t>约1608人</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SW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lang w:val="en-US" w:eastAsia="zh-CN"/>
              </w:rPr>
            </w:pPr>
            <w:r>
              <w:rPr>
                <w:rFonts w:hint="default" w:ascii="Times New Roman" w:hAnsi="Times New Roman" w:eastAsia="宋体" w:cs="Times New Roman"/>
                <w:color w:val="auto"/>
                <w:sz w:val="18"/>
                <w:szCs w:val="21"/>
                <w:lang w:val="en-US" w:eastAsia="zh-CN"/>
              </w:rPr>
              <w:t>3182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楼里村</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677342</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3196932</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约55户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SW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2832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pStyle w:val="6"/>
              <w:snapToGrid w:val="0"/>
              <w:spacing w:before="0" w:after="0"/>
              <w:jc w:val="center"/>
              <w:rPr>
                <w:rFonts w:hint="default" w:ascii="Times New Roman" w:hAnsi="Times New Roman" w:eastAsia="宋体" w:cs="Times New Roman"/>
                <w:b w:val="0"/>
                <w:bCs w:val="0"/>
                <w:caps w:val="0"/>
                <w:color w:val="auto"/>
                <w:sz w:val="18"/>
                <w:szCs w:val="18"/>
              </w:rPr>
            </w:pPr>
            <w:r>
              <w:rPr>
                <w:rFonts w:hint="default" w:ascii="Times New Roman" w:hAnsi="Times New Roman" w:eastAsia="宋体" w:cs="Times New Roman"/>
                <w:b w:val="0"/>
                <w:bCs w:val="0"/>
                <w:caps w:val="0"/>
                <w:color w:val="auto"/>
                <w:sz w:val="18"/>
                <w:szCs w:val="18"/>
              </w:rPr>
              <w:t>贝林·金誉府</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681734</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3201350</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在建中</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NE</w:t>
            </w:r>
          </w:p>
        </w:tc>
        <w:tc>
          <w:tcPr>
            <w:tcW w:w="101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pStyle w:val="6"/>
              <w:snapToGrid w:val="0"/>
              <w:spacing w:before="0" w:after="0"/>
              <w:jc w:val="center"/>
              <w:rPr>
                <w:rFonts w:hint="default" w:ascii="Times New Roman" w:hAnsi="Times New Roman" w:eastAsia="宋体" w:cs="Times New Roman"/>
                <w:b w:val="0"/>
                <w:bCs w:val="0"/>
                <w:caps w:val="0"/>
                <w:color w:val="auto"/>
                <w:sz w:val="18"/>
                <w:szCs w:val="18"/>
              </w:rPr>
            </w:pPr>
            <w:r>
              <w:rPr>
                <w:rFonts w:hint="default" w:ascii="Times New Roman" w:hAnsi="Times New Roman" w:eastAsia="宋体" w:cs="Times New Roman"/>
                <w:b w:val="0"/>
                <w:bCs w:val="0"/>
                <w:caps w:val="0"/>
                <w:color w:val="auto"/>
                <w:sz w:val="18"/>
                <w:szCs w:val="18"/>
              </w:rPr>
              <w:t>天阳澜岸铭邸</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682005</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3201406</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在建中</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NE</w:t>
            </w:r>
          </w:p>
        </w:tc>
        <w:tc>
          <w:tcPr>
            <w:tcW w:w="101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pStyle w:val="6"/>
              <w:snapToGrid w:val="0"/>
              <w:spacing w:before="0" w:after="0"/>
              <w:jc w:val="center"/>
              <w:rPr>
                <w:rFonts w:hint="default" w:ascii="Times New Roman" w:hAnsi="Times New Roman" w:eastAsia="宋体" w:cs="Times New Roman"/>
                <w:b w:val="0"/>
                <w:bCs w:val="0"/>
                <w:caps w:val="0"/>
                <w:color w:val="auto"/>
                <w:sz w:val="18"/>
                <w:szCs w:val="18"/>
              </w:rPr>
            </w:pPr>
            <w:r>
              <w:rPr>
                <w:rFonts w:hint="default" w:ascii="Times New Roman" w:hAnsi="Times New Roman" w:eastAsia="宋体" w:cs="Times New Roman"/>
                <w:b w:val="0"/>
                <w:bCs w:val="0"/>
                <w:caps w:val="0"/>
                <w:color w:val="auto"/>
                <w:sz w:val="18"/>
                <w:szCs w:val="18"/>
              </w:rPr>
              <w:t>衢州市柯城区城南小学</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 xml:space="preserve">681686.75  </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3201542.53</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rPr>
              <w:t>学校</w:t>
            </w:r>
          </w:p>
        </w:tc>
        <w:tc>
          <w:tcPr>
            <w:tcW w:w="1407" w:type="dxa"/>
            <w:noWrap w:val="0"/>
            <w:vAlign w:val="center"/>
          </w:tcPr>
          <w:p>
            <w:pPr>
              <w:widowControl/>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约900人</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NE</w:t>
            </w:r>
          </w:p>
        </w:tc>
        <w:tc>
          <w:tcPr>
            <w:tcW w:w="101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pStyle w:val="6"/>
              <w:snapToGrid w:val="0"/>
              <w:spacing w:before="0" w:after="0"/>
              <w:jc w:val="center"/>
              <w:rPr>
                <w:rFonts w:hint="default" w:ascii="Times New Roman" w:hAnsi="Times New Roman" w:eastAsia="宋体" w:cs="Times New Roman"/>
                <w:b w:val="0"/>
                <w:bCs w:val="0"/>
                <w:caps w:val="0"/>
                <w:color w:val="auto"/>
                <w:sz w:val="18"/>
                <w:szCs w:val="18"/>
              </w:rPr>
            </w:pPr>
            <w:r>
              <w:rPr>
                <w:rFonts w:hint="default" w:ascii="Times New Roman" w:hAnsi="Times New Roman" w:eastAsia="宋体" w:cs="Times New Roman"/>
                <w:b w:val="0"/>
                <w:bCs w:val="0"/>
                <w:caps w:val="0"/>
                <w:color w:val="auto"/>
                <w:sz w:val="18"/>
                <w:szCs w:val="18"/>
              </w:rPr>
              <w:t>志成蓝湾小区</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 xml:space="preserve">681892.04 </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 xml:space="preserve">3201558.44 </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约1000人</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NE</w:t>
            </w:r>
          </w:p>
        </w:tc>
        <w:tc>
          <w:tcPr>
            <w:tcW w:w="101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3354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pStyle w:val="6"/>
              <w:snapToGrid w:val="0"/>
              <w:spacing w:before="0" w:after="0"/>
              <w:jc w:val="center"/>
              <w:rPr>
                <w:rFonts w:hint="default" w:ascii="Times New Roman" w:hAnsi="Times New Roman" w:eastAsia="宋体" w:cs="Times New Roman"/>
                <w:b w:val="0"/>
                <w:bCs w:val="0"/>
                <w:caps w:val="0"/>
                <w:color w:val="auto"/>
                <w:sz w:val="18"/>
                <w:szCs w:val="18"/>
              </w:rPr>
            </w:pPr>
            <w:r>
              <w:rPr>
                <w:rFonts w:hint="default" w:ascii="Times New Roman" w:hAnsi="Times New Roman" w:eastAsia="宋体" w:cs="Times New Roman"/>
                <w:b w:val="0"/>
                <w:bCs w:val="0"/>
                <w:caps w:val="0"/>
                <w:color w:val="auto"/>
                <w:sz w:val="18"/>
                <w:szCs w:val="18"/>
              </w:rPr>
              <w:t>祥生云栖新语</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682403</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3201491</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约1018户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NE</w:t>
            </w:r>
          </w:p>
        </w:tc>
        <w:tc>
          <w:tcPr>
            <w:tcW w:w="101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3373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pStyle w:val="6"/>
              <w:snapToGrid w:val="0"/>
              <w:spacing w:before="0" w:after="0"/>
              <w:jc w:val="center"/>
              <w:rPr>
                <w:rFonts w:hint="default" w:ascii="Times New Roman" w:hAnsi="Times New Roman" w:eastAsia="宋体" w:cs="Times New Roman"/>
                <w:b w:val="0"/>
                <w:bCs w:val="0"/>
                <w:caps w:val="0"/>
                <w:color w:val="auto"/>
                <w:sz w:val="18"/>
                <w:szCs w:val="18"/>
              </w:rPr>
            </w:pPr>
            <w:r>
              <w:rPr>
                <w:rFonts w:hint="default" w:ascii="Times New Roman" w:hAnsi="Times New Roman" w:eastAsia="宋体" w:cs="Times New Roman"/>
                <w:b w:val="0"/>
                <w:bCs w:val="0"/>
                <w:caps w:val="0"/>
                <w:color w:val="auto"/>
                <w:sz w:val="18"/>
                <w:szCs w:val="18"/>
              </w:rPr>
              <w:t>左岸公馆</w:t>
            </w:r>
          </w:p>
        </w:tc>
        <w:tc>
          <w:tcPr>
            <w:tcW w:w="1045" w:type="dxa"/>
            <w:noWrap w:val="0"/>
            <w:vAlign w:val="center"/>
          </w:tcPr>
          <w:p>
            <w:pPr>
              <w:pStyle w:val="6"/>
              <w:snapToGrid w:val="0"/>
              <w:spacing w:before="0" w:after="0"/>
              <w:jc w:val="center"/>
              <w:rPr>
                <w:rFonts w:hint="default" w:ascii="Times New Roman" w:hAnsi="Times New Roman" w:eastAsia="宋体" w:cs="Times New Roman"/>
                <w:b w:val="0"/>
                <w:bCs w:val="0"/>
                <w:caps/>
                <w:color w:val="auto"/>
                <w:sz w:val="18"/>
                <w:szCs w:val="18"/>
              </w:rPr>
            </w:pPr>
            <w:r>
              <w:rPr>
                <w:rFonts w:hint="default" w:ascii="Times New Roman" w:hAnsi="Times New Roman" w:eastAsia="宋体" w:cs="Times New Roman"/>
                <w:b w:val="0"/>
                <w:bCs w:val="0"/>
                <w:caps/>
                <w:color w:val="auto"/>
                <w:sz w:val="18"/>
                <w:szCs w:val="18"/>
              </w:rPr>
              <w:t>680000</w:t>
            </w:r>
          </w:p>
        </w:tc>
        <w:tc>
          <w:tcPr>
            <w:tcW w:w="1185" w:type="dxa"/>
            <w:noWrap w:val="0"/>
            <w:vAlign w:val="center"/>
          </w:tcPr>
          <w:p>
            <w:pPr>
              <w:pStyle w:val="6"/>
              <w:snapToGrid w:val="0"/>
              <w:spacing w:before="0" w:after="0"/>
              <w:jc w:val="center"/>
              <w:rPr>
                <w:rFonts w:hint="default" w:ascii="Times New Roman" w:hAnsi="Times New Roman" w:eastAsia="宋体" w:cs="Times New Roman"/>
                <w:b w:val="0"/>
                <w:bCs w:val="0"/>
                <w:caps/>
                <w:color w:val="auto"/>
                <w:sz w:val="18"/>
                <w:szCs w:val="18"/>
              </w:rPr>
            </w:pPr>
            <w:r>
              <w:rPr>
                <w:rFonts w:hint="default" w:ascii="Times New Roman" w:hAnsi="Times New Roman" w:eastAsia="宋体" w:cs="Times New Roman"/>
                <w:b w:val="0"/>
                <w:bCs w:val="0"/>
                <w:caps/>
                <w:color w:val="auto"/>
                <w:sz w:val="18"/>
                <w:szCs w:val="18"/>
              </w:rPr>
              <w:t>3200762</w:t>
            </w:r>
          </w:p>
        </w:tc>
        <w:tc>
          <w:tcPr>
            <w:tcW w:w="835" w:type="dxa"/>
            <w:noWrap w:val="0"/>
            <w:vAlign w:val="center"/>
          </w:tcPr>
          <w:p>
            <w:pPr>
              <w:pStyle w:val="6"/>
              <w:snapToGrid w:val="0"/>
              <w:spacing w:before="0" w:after="0"/>
              <w:jc w:val="center"/>
              <w:rPr>
                <w:rFonts w:hint="default" w:ascii="Times New Roman" w:hAnsi="Times New Roman" w:eastAsia="宋体" w:cs="Times New Roman"/>
                <w:b w:val="0"/>
                <w:bCs w:val="0"/>
                <w:caps/>
                <w:color w:val="auto"/>
                <w:sz w:val="18"/>
                <w:szCs w:val="18"/>
                <w:lang w:eastAsia="en-US"/>
              </w:rPr>
            </w:pPr>
            <w:r>
              <w:rPr>
                <w:rFonts w:hint="default" w:ascii="Times New Roman" w:hAnsi="Times New Roman" w:eastAsia="宋体" w:cs="Times New Roman"/>
                <w:b w:val="0"/>
                <w:bCs w:val="0"/>
                <w:caps/>
                <w:color w:val="auto"/>
                <w:sz w:val="18"/>
                <w:szCs w:val="18"/>
                <w:lang w:eastAsia="en-US"/>
              </w:rPr>
              <w:t>居住区</w:t>
            </w:r>
          </w:p>
        </w:tc>
        <w:tc>
          <w:tcPr>
            <w:tcW w:w="1407" w:type="dxa"/>
            <w:noWrap w:val="0"/>
            <w:vAlign w:val="center"/>
          </w:tcPr>
          <w:p>
            <w:pPr>
              <w:pStyle w:val="6"/>
              <w:snapToGrid w:val="0"/>
              <w:spacing w:before="0" w:after="0"/>
              <w:jc w:val="center"/>
              <w:rPr>
                <w:rFonts w:hint="default" w:ascii="Times New Roman" w:hAnsi="Times New Roman" w:eastAsia="宋体" w:cs="Times New Roman"/>
                <w:b w:val="0"/>
                <w:bCs w:val="0"/>
                <w:caps/>
                <w:color w:val="auto"/>
                <w:sz w:val="18"/>
                <w:szCs w:val="18"/>
                <w:lang w:val="en-US" w:eastAsia="zh-CN"/>
              </w:rPr>
            </w:pPr>
            <w:r>
              <w:rPr>
                <w:rFonts w:hint="default" w:ascii="Times New Roman" w:hAnsi="Times New Roman" w:eastAsia="宋体" w:cs="Times New Roman"/>
                <w:b w:val="0"/>
                <w:bCs w:val="0"/>
                <w:caps/>
                <w:color w:val="auto"/>
                <w:sz w:val="18"/>
                <w:szCs w:val="18"/>
                <w:lang w:val="en-US" w:eastAsia="zh-CN"/>
              </w:rPr>
              <w:t>约89户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21"/>
              </w:rPr>
              <w:t>NW</w:t>
            </w:r>
          </w:p>
        </w:tc>
        <w:tc>
          <w:tcPr>
            <w:tcW w:w="1012" w:type="dxa"/>
            <w:noWrap w:val="0"/>
            <w:vAlign w:val="center"/>
          </w:tcPr>
          <w:p>
            <w:pPr>
              <w:snapToGrid w:val="0"/>
              <w:jc w:val="center"/>
              <w:textAlignment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2150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pStyle w:val="6"/>
              <w:snapToGrid w:val="0"/>
              <w:spacing w:before="0" w:after="0"/>
              <w:jc w:val="center"/>
              <w:rPr>
                <w:rFonts w:hint="default" w:ascii="Times New Roman" w:hAnsi="Times New Roman" w:eastAsia="宋体" w:cs="Times New Roman"/>
                <w:b w:val="0"/>
                <w:bCs w:val="0"/>
                <w:caps w:val="0"/>
                <w:color w:val="auto"/>
                <w:sz w:val="18"/>
                <w:szCs w:val="18"/>
              </w:rPr>
            </w:pPr>
            <w:r>
              <w:rPr>
                <w:rFonts w:hint="default" w:ascii="Times New Roman" w:hAnsi="Times New Roman" w:eastAsia="宋体" w:cs="Times New Roman"/>
                <w:b w:val="0"/>
                <w:bCs w:val="0"/>
                <w:caps w:val="0"/>
                <w:color w:val="auto"/>
                <w:sz w:val="18"/>
                <w:szCs w:val="18"/>
              </w:rPr>
              <w:t>加州洋房</w:t>
            </w:r>
          </w:p>
        </w:tc>
        <w:tc>
          <w:tcPr>
            <w:tcW w:w="1045" w:type="dxa"/>
            <w:noWrap w:val="0"/>
            <w:vAlign w:val="center"/>
          </w:tcPr>
          <w:p>
            <w:pPr>
              <w:pStyle w:val="6"/>
              <w:snapToGrid w:val="0"/>
              <w:spacing w:before="0" w:after="0"/>
              <w:jc w:val="center"/>
              <w:rPr>
                <w:rFonts w:hint="default" w:ascii="Times New Roman" w:hAnsi="Times New Roman" w:eastAsia="宋体" w:cs="Times New Roman"/>
                <w:b w:val="0"/>
                <w:bCs w:val="0"/>
                <w:caps/>
                <w:color w:val="auto"/>
                <w:sz w:val="18"/>
                <w:szCs w:val="18"/>
              </w:rPr>
            </w:pPr>
            <w:r>
              <w:rPr>
                <w:rFonts w:hint="default" w:ascii="Times New Roman" w:hAnsi="Times New Roman" w:eastAsia="宋体" w:cs="Times New Roman"/>
                <w:b w:val="0"/>
                <w:bCs w:val="0"/>
                <w:caps/>
                <w:color w:val="auto"/>
                <w:sz w:val="18"/>
                <w:szCs w:val="18"/>
              </w:rPr>
              <w:t>680017</w:t>
            </w:r>
          </w:p>
        </w:tc>
        <w:tc>
          <w:tcPr>
            <w:tcW w:w="1185" w:type="dxa"/>
            <w:noWrap w:val="0"/>
            <w:vAlign w:val="center"/>
          </w:tcPr>
          <w:p>
            <w:pPr>
              <w:pStyle w:val="6"/>
              <w:snapToGrid w:val="0"/>
              <w:spacing w:before="0" w:after="0"/>
              <w:jc w:val="center"/>
              <w:rPr>
                <w:rFonts w:hint="default" w:ascii="Times New Roman" w:hAnsi="Times New Roman" w:eastAsia="宋体" w:cs="Times New Roman"/>
                <w:b w:val="0"/>
                <w:bCs w:val="0"/>
                <w:caps/>
                <w:color w:val="auto"/>
                <w:sz w:val="18"/>
                <w:szCs w:val="18"/>
              </w:rPr>
            </w:pPr>
            <w:r>
              <w:rPr>
                <w:rFonts w:hint="default" w:ascii="Times New Roman" w:hAnsi="Times New Roman" w:eastAsia="宋体" w:cs="Times New Roman"/>
                <w:b w:val="0"/>
                <w:bCs w:val="0"/>
                <w:caps/>
                <w:color w:val="auto"/>
                <w:sz w:val="18"/>
                <w:szCs w:val="18"/>
              </w:rPr>
              <w:t>3201071</w:t>
            </w:r>
          </w:p>
        </w:tc>
        <w:tc>
          <w:tcPr>
            <w:tcW w:w="835" w:type="dxa"/>
            <w:noWrap w:val="0"/>
            <w:vAlign w:val="center"/>
          </w:tcPr>
          <w:p>
            <w:pPr>
              <w:pStyle w:val="6"/>
              <w:snapToGrid w:val="0"/>
              <w:spacing w:before="0" w:after="0"/>
              <w:jc w:val="center"/>
              <w:rPr>
                <w:rFonts w:hint="default" w:ascii="Times New Roman" w:hAnsi="Times New Roman" w:eastAsia="宋体" w:cs="Times New Roman"/>
                <w:b w:val="0"/>
                <w:bCs w:val="0"/>
                <w:caps/>
                <w:color w:val="auto"/>
                <w:sz w:val="18"/>
                <w:szCs w:val="18"/>
                <w:lang w:eastAsia="en-US"/>
              </w:rPr>
            </w:pPr>
            <w:r>
              <w:rPr>
                <w:rFonts w:hint="default" w:ascii="Times New Roman" w:hAnsi="Times New Roman" w:eastAsia="宋体" w:cs="Times New Roman"/>
                <w:b w:val="0"/>
                <w:bCs w:val="0"/>
                <w:caps/>
                <w:color w:val="auto"/>
                <w:sz w:val="18"/>
                <w:szCs w:val="18"/>
                <w:lang w:eastAsia="en-US"/>
              </w:rPr>
              <w:t>居住区</w:t>
            </w:r>
          </w:p>
        </w:tc>
        <w:tc>
          <w:tcPr>
            <w:tcW w:w="1407" w:type="dxa"/>
            <w:noWrap w:val="0"/>
            <w:vAlign w:val="center"/>
          </w:tcPr>
          <w:p>
            <w:pPr>
              <w:pStyle w:val="6"/>
              <w:snapToGrid w:val="0"/>
              <w:spacing w:before="0" w:after="0"/>
              <w:jc w:val="center"/>
              <w:rPr>
                <w:rFonts w:hint="default" w:ascii="Times New Roman" w:hAnsi="Times New Roman" w:eastAsia="宋体" w:cs="Times New Roman"/>
                <w:b w:val="0"/>
                <w:bCs w:val="0"/>
                <w:caps/>
                <w:color w:val="auto"/>
                <w:sz w:val="18"/>
                <w:szCs w:val="18"/>
                <w:lang w:val="en-US" w:eastAsia="zh-CN"/>
              </w:rPr>
            </w:pPr>
            <w:r>
              <w:rPr>
                <w:rFonts w:hint="default" w:ascii="Times New Roman" w:hAnsi="Times New Roman" w:eastAsia="宋体" w:cs="Times New Roman"/>
                <w:b w:val="0"/>
                <w:bCs w:val="0"/>
                <w:caps/>
                <w:color w:val="auto"/>
                <w:sz w:val="18"/>
                <w:szCs w:val="18"/>
                <w:lang w:val="en-US" w:eastAsia="zh-CN"/>
              </w:rPr>
              <w:t>约796户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21"/>
              </w:rPr>
              <w:t>NW</w:t>
            </w:r>
          </w:p>
        </w:tc>
        <w:tc>
          <w:tcPr>
            <w:tcW w:w="1012" w:type="dxa"/>
            <w:noWrap w:val="0"/>
            <w:vAlign w:val="center"/>
          </w:tcPr>
          <w:p>
            <w:pPr>
              <w:snapToGrid w:val="0"/>
              <w:jc w:val="center"/>
              <w:textAlignment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2493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张家村</w:t>
            </w:r>
          </w:p>
        </w:tc>
        <w:tc>
          <w:tcPr>
            <w:tcW w:w="104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683136</w:t>
            </w:r>
          </w:p>
        </w:tc>
        <w:tc>
          <w:tcPr>
            <w:tcW w:w="118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3195683</w:t>
            </w:r>
          </w:p>
        </w:tc>
        <w:tc>
          <w:tcPr>
            <w:tcW w:w="83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约2</w:t>
            </w:r>
            <w:r>
              <w:rPr>
                <w:rFonts w:hint="default" w:ascii="Times New Roman" w:hAnsi="Times New Roman" w:eastAsia="宋体" w:cs="Times New Roman"/>
                <w:color w:val="auto"/>
                <w:sz w:val="18"/>
                <w:szCs w:val="18"/>
              </w:rPr>
              <w:t>86</w:t>
            </w:r>
            <w:r>
              <w:rPr>
                <w:rFonts w:hint="default" w:ascii="Times New Roman" w:hAnsi="Times New Roman" w:eastAsia="宋体" w:cs="Times New Roman"/>
                <w:color w:val="auto"/>
                <w:sz w:val="18"/>
                <w:szCs w:val="18"/>
                <w:lang w:eastAsia="en-US"/>
              </w:rPr>
              <w:t>人</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SE</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3429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pStyle w:val="6"/>
              <w:snapToGrid w:val="0"/>
              <w:spacing w:before="0" w:after="0"/>
              <w:jc w:val="center"/>
              <w:rPr>
                <w:rFonts w:hint="default" w:ascii="Times New Roman" w:hAnsi="Times New Roman" w:eastAsia="宋体" w:cs="Times New Roman"/>
                <w:b w:val="0"/>
                <w:bCs w:val="0"/>
                <w:caps w:val="0"/>
                <w:color w:val="auto"/>
                <w:sz w:val="18"/>
                <w:szCs w:val="18"/>
              </w:rPr>
            </w:pPr>
            <w:r>
              <w:rPr>
                <w:rFonts w:hint="default" w:ascii="Times New Roman" w:hAnsi="Times New Roman" w:eastAsia="宋体" w:cs="Times New Roman"/>
                <w:b w:val="0"/>
                <w:bCs w:val="0"/>
                <w:caps w:val="0"/>
                <w:color w:val="auto"/>
                <w:sz w:val="18"/>
                <w:szCs w:val="18"/>
              </w:rPr>
              <w:t>万固誉江南</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682315</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3201668</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约1054户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NE</w:t>
            </w:r>
          </w:p>
        </w:tc>
        <w:tc>
          <w:tcPr>
            <w:tcW w:w="101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佘塘头</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678664</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3194222</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21"/>
                <w:lang w:eastAsia="en-US"/>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adjustRightInd w:val="0"/>
              <w:snapToGrid w:val="0"/>
              <w:jc w:val="center"/>
              <w:rPr>
                <w:rFonts w:hint="default" w:ascii="Times New Roman" w:hAnsi="Times New Roman" w:eastAsia="宋体" w:cs="Times New Roman"/>
                <w:color w:val="auto"/>
                <w:sz w:val="18"/>
                <w:szCs w:val="21"/>
                <w:lang w:eastAsia="en-US"/>
              </w:rPr>
            </w:pPr>
            <w:r>
              <w:rPr>
                <w:rFonts w:hint="default" w:ascii="Times New Roman" w:hAnsi="Times New Roman" w:eastAsia="宋体" w:cs="Times New Roman"/>
                <w:color w:val="auto"/>
                <w:sz w:val="18"/>
                <w:szCs w:val="21"/>
              </w:rPr>
              <w:t>1004人</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SW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3611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塔坛寺村</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684523</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3197575</w:t>
            </w:r>
          </w:p>
        </w:tc>
        <w:tc>
          <w:tcPr>
            <w:tcW w:w="835" w:type="dxa"/>
            <w:noWrap w:val="0"/>
            <w:vAlign w:val="center"/>
          </w:tcPr>
          <w:p>
            <w:pPr>
              <w:snapToGrid w:val="0"/>
              <w:jc w:val="center"/>
              <w:textAlignment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snapToGrid w:val="0"/>
              <w:jc w:val="center"/>
              <w:textAlignment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rPr>
              <w:t>约100户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SE</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3799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鱼头塘村</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676937</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3195518</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21"/>
                <w:lang w:eastAsia="en-US"/>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约180户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SW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3820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lang w:val="en-US" w:eastAsia="zh-CN"/>
              </w:rPr>
            </w:pPr>
            <w:r>
              <w:rPr>
                <w:rFonts w:hint="default" w:ascii="Times New Roman" w:hAnsi="Times New Roman" w:eastAsia="宋体" w:cs="Times New Roman"/>
                <w:color w:val="auto"/>
                <w:sz w:val="18"/>
                <w:szCs w:val="21"/>
                <w:lang w:val="en-US" w:eastAsia="zh-CN"/>
              </w:rPr>
              <w:t>六一村</w:t>
            </w:r>
          </w:p>
        </w:tc>
        <w:tc>
          <w:tcPr>
            <w:tcW w:w="104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676452</w:t>
            </w:r>
          </w:p>
        </w:tc>
        <w:tc>
          <w:tcPr>
            <w:tcW w:w="118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3194668</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18"/>
                <w:lang w:val="en-US" w:eastAsia="zh-CN" w:bidi="ar"/>
              </w:rPr>
              <w:t>约</w:t>
            </w:r>
            <w:r>
              <w:rPr>
                <w:rStyle w:val="21"/>
                <w:rFonts w:hint="default" w:ascii="Times New Roman" w:hAnsi="Times New Roman" w:eastAsia="宋体" w:cs="Times New Roman"/>
                <w:color w:val="auto"/>
                <w:sz w:val="18"/>
                <w:szCs w:val="18"/>
                <w:lang w:val="en-US" w:eastAsia="zh-CN" w:bidi="ar"/>
              </w:rPr>
              <w:t>2500</w:t>
            </w:r>
            <w:r>
              <w:rPr>
                <w:rFonts w:hint="default" w:ascii="Times New Roman" w:hAnsi="Times New Roman" w:eastAsia="宋体" w:cs="Times New Roman"/>
                <w:color w:val="auto"/>
                <w:sz w:val="18"/>
                <w:szCs w:val="18"/>
                <w:lang w:val="en-US" w:eastAsia="zh-CN" w:bidi="ar"/>
              </w:rPr>
              <w:t>人</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i w:val="0"/>
                <w:iCs w:val="0"/>
                <w:color w:val="auto"/>
                <w:kern w:val="0"/>
                <w:sz w:val="18"/>
                <w:szCs w:val="18"/>
                <w:u w:val="none"/>
                <w:lang w:val="en-US" w:eastAsia="zh-CN" w:bidi="ar"/>
              </w:rPr>
              <w:t>SW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lang w:val="en-US" w:eastAsia="zh-CN"/>
              </w:rPr>
            </w:pPr>
            <w:r>
              <w:rPr>
                <w:rFonts w:hint="default" w:ascii="Times New Roman" w:hAnsi="Times New Roman" w:eastAsia="宋体" w:cs="Times New Roman"/>
                <w:color w:val="auto"/>
                <w:sz w:val="18"/>
                <w:szCs w:val="21"/>
                <w:lang w:val="en-US" w:eastAsia="zh-CN"/>
              </w:rPr>
              <w:t>4658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缸窑村</w:t>
            </w:r>
          </w:p>
        </w:tc>
        <w:tc>
          <w:tcPr>
            <w:tcW w:w="104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684162</w:t>
            </w:r>
          </w:p>
        </w:tc>
        <w:tc>
          <w:tcPr>
            <w:tcW w:w="118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3196643</w:t>
            </w:r>
          </w:p>
        </w:tc>
        <w:tc>
          <w:tcPr>
            <w:tcW w:w="83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约376户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SE</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3887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郑家村</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679654</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3193951</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21"/>
                <w:lang w:eastAsia="en-US"/>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adjustRightInd w:val="0"/>
              <w:snapToGrid w:val="0"/>
              <w:jc w:val="center"/>
              <w:rPr>
                <w:rFonts w:hint="default" w:ascii="Times New Roman" w:hAnsi="Times New Roman" w:eastAsia="宋体" w:cs="Times New Roman"/>
                <w:color w:val="auto"/>
                <w:sz w:val="18"/>
                <w:szCs w:val="21"/>
                <w:lang w:eastAsia="en-US"/>
              </w:rPr>
            </w:pPr>
            <w:r>
              <w:rPr>
                <w:rFonts w:hint="default" w:ascii="Times New Roman" w:hAnsi="Times New Roman" w:eastAsia="宋体" w:cs="Times New Roman"/>
                <w:color w:val="auto"/>
                <w:sz w:val="18"/>
                <w:szCs w:val="21"/>
              </w:rPr>
              <w:t>约507户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SW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3899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祝家山</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683372</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3195325</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约45户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SE</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3893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pStyle w:val="6"/>
              <w:snapToGrid w:val="0"/>
              <w:spacing w:before="0" w:after="0"/>
              <w:jc w:val="center"/>
              <w:rPr>
                <w:rFonts w:hint="default" w:ascii="Times New Roman" w:hAnsi="Times New Roman" w:eastAsia="宋体" w:cs="Times New Roman"/>
                <w:caps w:val="0"/>
                <w:color w:val="auto"/>
                <w:sz w:val="18"/>
                <w:szCs w:val="18"/>
              </w:rPr>
            </w:pPr>
            <w:r>
              <w:rPr>
                <w:rFonts w:hint="default" w:ascii="Times New Roman" w:hAnsi="Times New Roman" w:eastAsia="宋体" w:cs="Times New Roman"/>
                <w:b w:val="0"/>
                <w:bCs w:val="0"/>
                <w:caps w:val="0"/>
                <w:color w:val="auto"/>
                <w:sz w:val="18"/>
                <w:szCs w:val="18"/>
              </w:rPr>
              <w:t>新世纪学校</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681653</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3202562</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学校</w:t>
            </w:r>
          </w:p>
        </w:tc>
        <w:tc>
          <w:tcPr>
            <w:tcW w:w="1407" w:type="dxa"/>
            <w:noWrap w:val="0"/>
            <w:vAlign w:val="center"/>
          </w:tcPr>
          <w:p>
            <w:pPr>
              <w:widowControl/>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约2400人</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NE</w:t>
            </w:r>
          </w:p>
        </w:tc>
        <w:tc>
          <w:tcPr>
            <w:tcW w:w="101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4010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pStyle w:val="6"/>
              <w:snapToGrid w:val="0"/>
              <w:spacing w:before="0" w:after="0"/>
              <w:jc w:val="center"/>
              <w:rPr>
                <w:rFonts w:hint="default" w:ascii="Times New Roman" w:hAnsi="Times New Roman" w:eastAsia="宋体" w:cs="Times New Roman"/>
                <w:caps w:val="0"/>
                <w:color w:val="auto"/>
                <w:sz w:val="18"/>
                <w:szCs w:val="18"/>
              </w:rPr>
            </w:pPr>
            <w:r>
              <w:rPr>
                <w:rFonts w:hint="default" w:ascii="Times New Roman" w:hAnsi="Times New Roman" w:eastAsia="宋体" w:cs="Times New Roman"/>
                <w:b w:val="0"/>
                <w:bCs w:val="0"/>
                <w:caps w:val="0"/>
                <w:color w:val="auto"/>
                <w:sz w:val="18"/>
                <w:szCs w:val="18"/>
              </w:rPr>
              <w:t>东周村</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684878</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3198208</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jc w:val="center"/>
              <w:textAlignment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rPr>
              <w:t>约200户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SE</w:t>
            </w:r>
          </w:p>
        </w:tc>
        <w:tc>
          <w:tcPr>
            <w:tcW w:w="101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4071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裕丰花园</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682852</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3202264</w:t>
            </w:r>
          </w:p>
        </w:tc>
        <w:tc>
          <w:tcPr>
            <w:tcW w:w="835"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约350户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NE</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4163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福苑新村</w:t>
            </w:r>
          </w:p>
        </w:tc>
        <w:tc>
          <w:tcPr>
            <w:tcW w:w="104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683994</w:t>
            </w:r>
          </w:p>
        </w:tc>
        <w:tc>
          <w:tcPr>
            <w:tcW w:w="118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3201327</w:t>
            </w:r>
          </w:p>
        </w:tc>
        <w:tc>
          <w:tcPr>
            <w:tcW w:w="83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约305户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NE</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4255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pStyle w:val="6"/>
              <w:snapToGrid w:val="0"/>
              <w:spacing w:before="0" w:after="0"/>
              <w:jc w:val="center"/>
              <w:rPr>
                <w:rFonts w:hint="default" w:ascii="Times New Roman" w:hAnsi="Times New Roman" w:eastAsia="宋体" w:cs="Times New Roman"/>
                <w:caps w:val="0"/>
                <w:color w:val="auto"/>
                <w:sz w:val="18"/>
                <w:szCs w:val="18"/>
              </w:rPr>
            </w:pPr>
            <w:r>
              <w:rPr>
                <w:rFonts w:hint="default" w:ascii="Times New Roman" w:hAnsi="Times New Roman" w:eastAsia="宋体" w:cs="Times New Roman"/>
                <w:b w:val="0"/>
                <w:bCs w:val="0"/>
                <w:caps w:val="0"/>
                <w:color w:val="auto"/>
                <w:sz w:val="18"/>
                <w:szCs w:val="18"/>
              </w:rPr>
              <w:t>礼贤小学</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680995</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3202885</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约2000人</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NE</w:t>
            </w:r>
          </w:p>
        </w:tc>
        <w:tc>
          <w:tcPr>
            <w:tcW w:w="101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4267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官碓村</w:t>
            </w:r>
          </w:p>
        </w:tc>
        <w:tc>
          <w:tcPr>
            <w:tcW w:w="104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685077</w:t>
            </w:r>
          </w:p>
        </w:tc>
        <w:tc>
          <w:tcPr>
            <w:tcW w:w="118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3197753</w:t>
            </w:r>
          </w:p>
        </w:tc>
        <w:tc>
          <w:tcPr>
            <w:tcW w:w="83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约481户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SE</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4332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汪村</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677531</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3202053</w:t>
            </w:r>
          </w:p>
        </w:tc>
        <w:tc>
          <w:tcPr>
            <w:tcW w:w="83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约253人</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NW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4345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彭家村</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681350</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3193537</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21"/>
                <w:lang w:eastAsia="en-US"/>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adjustRightInd w:val="0"/>
              <w:snapToGrid w:val="0"/>
              <w:jc w:val="center"/>
              <w:rPr>
                <w:rFonts w:hint="default" w:ascii="Times New Roman" w:hAnsi="Times New Roman" w:eastAsia="宋体" w:cs="Times New Roman"/>
                <w:color w:val="auto"/>
                <w:sz w:val="18"/>
                <w:szCs w:val="21"/>
                <w:lang w:eastAsia="en-US"/>
              </w:rPr>
            </w:pPr>
            <w:r>
              <w:rPr>
                <w:rFonts w:hint="default" w:ascii="Times New Roman" w:hAnsi="Times New Roman" w:eastAsia="宋体" w:cs="Times New Roman"/>
                <w:color w:val="auto"/>
                <w:sz w:val="18"/>
                <w:szCs w:val="21"/>
              </w:rPr>
              <w:t>约120户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SE</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4365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pStyle w:val="6"/>
              <w:snapToGrid w:val="0"/>
              <w:spacing w:before="0" w:after="0"/>
              <w:jc w:val="center"/>
              <w:rPr>
                <w:rFonts w:hint="default" w:ascii="Times New Roman" w:hAnsi="Times New Roman" w:eastAsia="宋体" w:cs="Times New Roman"/>
                <w:caps w:val="0"/>
                <w:color w:val="auto"/>
                <w:sz w:val="18"/>
                <w:szCs w:val="18"/>
              </w:rPr>
            </w:pPr>
            <w:r>
              <w:rPr>
                <w:rFonts w:hint="default" w:ascii="Times New Roman" w:hAnsi="Times New Roman" w:eastAsia="宋体" w:cs="Times New Roman"/>
                <w:b w:val="0"/>
                <w:bCs w:val="0"/>
                <w:caps w:val="0"/>
                <w:color w:val="auto"/>
                <w:sz w:val="18"/>
                <w:szCs w:val="18"/>
              </w:rPr>
              <w:t>兴华西苑</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681276</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3203146</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约620户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18"/>
              </w:rPr>
              <w:t>NE</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4668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锦绣花园</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680948</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3203152</w:t>
            </w:r>
          </w:p>
        </w:tc>
        <w:tc>
          <w:tcPr>
            <w:tcW w:w="835" w:type="dxa"/>
            <w:noWrap w:val="0"/>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约3126户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NE</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4704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pStyle w:val="6"/>
              <w:snapToGrid w:val="0"/>
              <w:spacing w:before="0" w:after="0"/>
              <w:jc w:val="center"/>
              <w:rPr>
                <w:rFonts w:hint="default" w:ascii="Times New Roman" w:hAnsi="Times New Roman" w:eastAsia="宋体" w:cs="Times New Roman"/>
                <w:caps w:val="0"/>
                <w:color w:val="auto"/>
                <w:sz w:val="18"/>
                <w:szCs w:val="18"/>
              </w:rPr>
            </w:pPr>
            <w:r>
              <w:rPr>
                <w:rFonts w:hint="default" w:ascii="Times New Roman" w:hAnsi="Times New Roman" w:eastAsia="宋体" w:cs="Times New Roman"/>
                <w:b w:val="0"/>
                <w:bCs w:val="0"/>
                <w:caps w:val="0"/>
                <w:color w:val="auto"/>
                <w:sz w:val="18"/>
                <w:szCs w:val="18"/>
              </w:rPr>
              <w:t>园丁新村</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683454</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3202438</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约780户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NE</w:t>
            </w:r>
          </w:p>
        </w:tc>
        <w:tc>
          <w:tcPr>
            <w:tcW w:w="101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4762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pStyle w:val="6"/>
              <w:snapToGrid w:val="0"/>
              <w:spacing w:before="0" w:after="0"/>
              <w:jc w:val="center"/>
              <w:rPr>
                <w:rFonts w:hint="default" w:ascii="Times New Roman" w:hAnsi="Times New Roman" w:eastAsia="宋体" w:cs="Times New Roman"/>
                <w:caps w:val="0"/>
                <w:color w:val="auto"/>
                <w:sz w:val="18"/>
                <w:szCs w:val="18"/>
              </w:rPr>
            </w:pPr>
            <w:r>
              <w:rPr>
                <w:rFonts w:hint="default" w:ascii="Times New Roman" w:hAnsi="Times New Roman" w:eastAsia="宋体" w:cs="Times New Roman"/>
                <w:b w:val="0"/>
                <w:bCs w:val="0"/>
                <w:caps w:val="0"/>
                <w:color w:val="auto"/>
                <w:sz w:val="18"/>
                <w:szCs w:val="18"/>
              </w:rPr>
              <w:t>荷花小区</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682497</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3203194</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约1000户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NE</w:t>
            </w:r>
          </w:p>
        </w:tc>
        <w:tc>
          <w:tcPr>
            <w:tcW w:w="101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4965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官庄花园</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683636</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3202703</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约350户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NE</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5110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pStyle w:val="6"/>
              <w:snapToGrid w:val="0"/>
              <w:spacing w:before="0" w:after="0"/>
              <w:jc w:val="center"/>
              <w:rPr>
                <w:rFonts w:hint="default" w:ascii="Times New Roman" w:hAnsi="Times New Roman" w:eastAsia="宋体" w:cs="Times New Roman"/>
                <w:caps w:val="0"/>
                <w:color w:val="auto"/>
                <w:sz w:val="18"/>
                <w:szCs w:val="18"/>
              </w:rPr>
            </w:pPr>
            <w:r>
              <w:rPr>
                <w:rFonts w:hint="default" w:ascii="Times New Roman" w:hAnsi="Times New Roman" w:eastAsia="宋体" w:cs="Times New Roman"/>
                <w:b w:val="0"/>
                <w:bCs w:val="0"/>
                <w:caps w:val="0"/>
                <w:color w:val="auto"/>
                <w:sz w:val="18"/>
                <w:szCs w:val="18"/>
              </w:rPr>
              <w:t>金桂小区</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683293</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3203130</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约560户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NE</w:t>
            </w:r>
          </w:p>
        </w:tc>
        <w:tc>
          <w:tcPr>
            <w:tcW w:w="101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5175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pStyle w:val="6"/>
              <w:snapToGrid w:val="0"/>
              <w:spacing w:before="0" w:after="0"/>
              <w:jc w:val="center"/>
              <w:rPr>
                <w:rFonts w:hint="default" w:ascii="Times New Roman" w:hAnsi="Times New Roman" w:eastAsia="宋体" w:cs="Times New Roman"/>
                <w:b w:val="0"/>
                <w:bCs w:val="0"/>
                <w:caps w:val="0"/>
                <w:color w:val="auto"/>
                <w:sz w:val="18"/>
                <w:szCs w:val="18"/>
                <w:lang w:val="en-US" w:eastAsia="zh-CN"/>
              </w:rPr>
            </w:pPr>
            <w:r>
              <w:rPr>
                <w:rFonts w:hint="default" w:ascii="Times New Roman" w:hAnsi="Times New Roman" w:eastAsia="宋体" w:cs="Times New Roman"/>
                <w:b w:val="0"/>
                <w:bCs w:val="0"/>
                <w:caps w:val="0"/>
                <w:color w:val="auto"/>
                <w:sz w:val="18"/>
                <w:szCs w:val="18"/>
                <w:lang w:val="en-US" w:eastAsia="zh-CN"/>
              </w:rPr>
              <w:t>大成小学</w:t>
            </w:r>
          </w:p>
        </w:tc>
        <w:tc>
          <w:tcPr>
            <w:tcW w:w="104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682841</w:t>
            </w:r>
          </w:p>
        </w:tc>
        <w:tc>
          <w:tcPr>
            <w:tcW w:w="1185" w:type="dxa"/>
            <w:noWrap w:val="0"/>
            <w:vAlign w:val="center"/>
          </w:tcPr>
          <w:p>
            <w:pPr>
              <w:widowControl/>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3202495</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学校</w:t>
            </w:r>
          </w:p>
        </w:tc>
        <w:tc>
          <w:tcPr>
            <w:tcW w:w="1407" w:type="dxa"/>
            <w:noWrap w:val="0"/>
            <w:vAlign w:val="center"/>
          </w:tcPr>
          <w:p>
            <w:pPr>
              <w:widowControl/>
              <w:jc w:val="center"/>
              <w:textAlignment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约1860人</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NE</w:t>
            </w:r>
          </w:p>
        </w:tc>
        <w:tc>
          <w:tcPr>
            <w:tcW w:w="1012" w:type="dxa"/>
            <w:noWrap w:val="0"/>
            <w:vAlign w:val="center"/>
          </w:tcPr>
          <w:p>
            <w:pPr>
              <w:snapToGrid w:val="0"/>
              <w:jc w:val="center"/>
              <w:textAlignment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4582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pStyle w:val="6"/>
              <w:snapToGrid w:val="0"/>
              <w:spacing w:before="0" w:after="0"/>
              <w:jc w:val="center"/>
              <w:rPr>
                <w:rFonts w:hint="default" w:ascii="Times New Roman" w:hAnsi="Times New Roman" w:eastAsia="宋体" w:cs="Times New Roman"/>
                <w:b w:val="0"/>
                <w:bCs w:val="0"/>
                <w:caps w:val="0"/>
                <w:color w:val="auto"/>
                <w:sz w:val="18"/>
                <w:szCs w:val="18"/>
                <w:lang w:val="en-US" w:eastAsia="zh-CN"/>
              </w:rPr>
            </w:pPr>
            <w:r>
              <w:rPr>
                <w:rFonts w:hint="default" w:ascii="Times New Roman" w:hAnsi="Times New Roman" w:eastAsia="宋体" w:cs="Times New Roman"/>
                <w:b w:val="0"/>
                <w:bCs w:val="0"/>
                <w:caps w:val="0"/>
                <w:color w:val="auto"/>
                <w:sz w:val="18"/>
                <w:szCs w:val="18"/>
                <w:lang w:val="en-US" w:eastAsia="zh-CN"/>
              </w:rPr>
              <w:t>上厅</w:t>
            </w:r>
          </w:p>
        </w:tc>
        <w:tc>
          <w:tcPr>
            <w:tcW w:w="104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684097</w:t>
            </w:r>
          </w:p>
        </w:tc>
        <w:tc>
          <w:tcPr>
            <w:tcW w:w="118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3193609</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val="en-US" w:eastAsia="zh-CN" w:bidi="ar"/>
              </w:rPr>
              <w:t>约</w:t>
            </w:r>
            <w:r>
              <w:rPr>
                <w:rStyle w:val="21"/>
                <w:rFonts w:hint="default" w:ascii="Times New Roman" w:hAnsi="Times New Roman" w:eastAsia="宋体" w:cs="Times New Roman"/>
                <w:color w:val="auto"/>
                <w:sz w:val="18"/>
                <w:szCs w:val="18"/>
                <w:lang w:val="en-US" w:eastAsia="zh-CN" w:bidi="ar"/>
              </w:rPr>
              <w:t>1732</w:t>
            </w:r>
            <w:r>
              <w:rPr>
                <w:rFonts w:hint="default" w:ascii="Times New Roman" w:hAnsi="Times New Roman" w:eastAsia="宋体" w:cs="Times New Roman"/>
                <w:color w:val="auto"/>
                <w:sz w:val="18"/>
                <w:szCs w:val="18"/>
                <w:lang w:val="en-US" w:eastAsia="zh-CN" w:bidi="ar"/>
              </w:rPr>
              <w:t>人</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i w:val="0"/>
                <w:iCs w:val="0"/>
                <w:color w:val="auto"/>
                <w:kern w:val="0"/>
                <w:sz w:val="18"/>
                <w:szCs w:val="18"/>
                <w:u w:val="none"/>
                <w:lang w:val="en-US" w:eastAsia="zh-CN" w:bidi="ar"/>
              </w:rPr>
              <w:t>SE</w:t>
            </w:r>
          </w:p>
        </w:tc>
        <w:tc>
          <w:tcPr>
            <w:tcW w:w="1012" w:type="dxa"/>
            <w:noWrap w:val="0"/>
            <w:vAlign w:val="center"/>
          </w:tcPr>
          <w:p>
            <w:pPr>
              <w:snapToGrid w:val="0"/>
              <w:jc w:val="center"/>
              <w:textAlignment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5533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pStyle w:val="6"/>
              <w:snapToGrid w:val="0"/>
              <w:spacing w:before="0" w:after="0"/>
              <w:jc w:val="center"/>
              <w:rPr>
                <w:rFonts w:hint="default" w:ascii="Times New Roman" w:hAnsi="Times New Roman" w:eastAsia="宋体" w:cs="Times New Roman"/>
                <w:b w:val="0"/>
                <w:bCs w:val="0"/>
                <w:caps w:val="0"/>
                <w:color w:val="auto"/>
                <w:sz w:val="18"/>
                <w:szCs w:val="18"/>
                <w:lang w:val="en-US" w:eastAsia="zh-CN"/>
              </w:rPr>
            </w:pPr>
            <w:r>
              <w:rPr>
                <w:rFonts w:hint="default" w:ascii="Times New Roman" w:hAnsi="Times New Roman" w:eastAsia="宋体" w:cs="Times New Roman"/>
                <w:b w:val="0"/>
                <w:bCs w:val="0"/>
                <w:caps w:val="0"/>
                <w:color w:val="auto"/>
                <w:sz w:val="18"/>
                <w:szCs w:val="18"/>
                <w:lang w:val="en-US" w:eastAsia="zh-CN"/>
              </w:rPr>
              <w:t>里屋村</w:t>
            </w:r>
          </w:p>
        </w:tc>
        <w:tc>
          <w:tcPr>
            <w:tcW w:w="104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675753</w:t>
            </w:r>
          </w:p>
        </w:tc>
        <w:tc>
          <w:tcPr>
            <w:tcW w:w="118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3196149</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lang w:val="en-US" w:eastAsia="en-US" w:bidi="ar-SA"/>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val="en-US" w:eastAsia="zh-CN" w:bidi="ar"/>
              </w:rPr>
              <w:t>约</w:t>
            </w:r>
            <w:r>
              <w:rPr>
                <w:rStyle w:val="21"/>
                <w:rFonts w:hint="default" w:ascii="Times New Roman" w:hAnsi="Times New Roman" w:eastAsia="宋体" w:cs="Times New Roman"/>
                <w:color w:val="auto"/>
                <w:sz w:val="18"/>
                <w:szCs w:val="18"/>
                <w:lang w:val="en-US" w:eastAsia="zh-CN" w:bidi="ar"/>
              </w:rPr>
              <w:t>1065</w:t>
            </w:r>
            <w:r>
              <w:rPr>
                <w:rFonts w:hint="default" w:ascii="Times New Roman" w:hAnsi="Times New Roman" w:eastAsia="宋体" w:cs="Times New Roman"/>
                <w:color w:val="auto"/>
                <w:sz w:val="18"/>
                <w:szCs w:val="18"/>
                <w:lang w:val="en-US" w:eastAsia="zh-CN" w:bidi="ar"/>
              </w:rPr>
              <w:t>人</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i w:val="0"/>
                <w:iCs w:val="0"/>
                <w:color w:val="auto"/>
                <w:kern w:val="0"/>
                <w:sz w:val="18"/>
                <w:szCs w:val="18"/>
                <w:u w:val="none"/>
                <w:lang w:val="en-US" w:eastAsia="zh-CN" w:bidi="ar"/>
              </w:rPr>
              <w:t>SW</w:t>
            </w:r>
          </w:p>
        </w:tc>
        <w:tc>
          <w:tcPr>
            <w:tcW w:w="1012" w:type="dxa"/>
            <w:noWrap w:val="0"/>
            <w:vAlign w:val="center"/>
          </w:tcPr>
          <w:p>
            <w:pPr>
              <w:snapToGrid w:val="0"/>
              <w:jc w:val="center"/>
              <w:textAlignment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4600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pStyle w:val="6"/>
              <w:snapToGrid w:val="0"/>
              <w:spacing w:before="0" w:after="0"/>
              <w:jc w:val="center"/>
              <w:rPr>
                <w:rFonts w:hint="default" w:ascii="Times New Roman" w:hAnsi="Times New Roman" w:eastAsia="宋体" w:cs="Times New Roman"/>
                <w:b w:val="0"/>
                <w:bCs w:val="0"/>
                <w:caps w:val="0"/>
                <w:color w:val="auto"/>
                <w:sz w:val="18"/>
                <w:szCs w:val="18"/>
                <w:lang w:val="en-US" w:eastAsia="zh-CN"/>
              </w:rPr>
            </w:pPr>
            <w:r>
              <w:rPr>
                <w:rFonts w:hint="default" w:ascii="Times New Roman" w:hAnsi="Times New Roman" w:eastAsia="宋体" w:cs="Times New Roman"/>
                <w:b w:val="0"/>
                <w:bCs w:val="0"/>
                <w:caps w:val="0"/>
                <w:color w:val="auto"/>
                <w:sz w:val="18"/>
                <w:szCs w:val="18"/>
                <w:lang w:val="en-US" w:eastAsia="zh-CN"/>
              </w:rPr>
              <w:t>石塘背村</w:t>
            </w:r>
          </w:p>
        </w:tc>
        <w:tc>
          <w:tcPr>
            <w:tcW w:w="104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676810</w:t>
            </w:r>
          </w:p>
        </w:tc>
        <w:tc>
          <w:tcPr>
            <w:tcW w:w="118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3198036</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val="en-US" w:eastAsia="zh-CN" w:bidi="ar"/>
              </w:rPr>
              <w:t>约</w:t>
            </w:r>
            <w:r>
              <w:rPr>
                <w:rStyle w:val="21"/>
                <w:rFonts w:hint="default" w:ascii="Times New Roman" w:hAnsi="Times New Roman" w:eastAsia="宋体" w:cs="Times New Roman"/>
                <w:color w:val="auto"/>
                <w:sz w:val="18"/>
                <w:szCs w:val="18"/>
                <w:lang w:val="en-US" w:eastAsia="zh-CN" w:bidi="ar"/>
              </w:rPr>
              <w:t>1650</w:t>
            </w:r>
            <w:r>
              <w:rPr>
                <w:rFonts w:hint="default" w:ascii="Times New Roman" w:hAnsi="Times New Roman" w:eastAsia="宋体" w:cs="Times New Roman"/>
                <w:color w:val="auto"/>
                <w:sz w:val="18"/>
                <w:szCs w:val="18"/>
                <w:lang w:val="en-US" w:eastAsia="zh-CN" w:bidi="ar"/>
              </w:rPr>
              <w:t>人</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i w:val="0"/>
                <w:iCs w:val="0"/>
                <w:color w:val="auto"/>
                <w:kern w:val="0"/>
                <w:sz w:val="18"/>
                <w:szCs w:val="18"/>
                <w:u w:val="none"/>
                <w:lang w:val="en-US" w:eastAsia="zh-CN" w:bidi="ar"/>
              </w:rPr>
              <w:t>NW</w:t>
            </w:r>
          </w:p>
        </w:tc>
        <w:tc>
          <w:tcPr>
            <w:tcW w:w="1012" w:type="dxa"/>
            <w:noWrap w:val="0"/>
            <w:vAlign w:val="center"/>
          </w:tcPr>
          <w:p>
            <w:pPr>
              <w:snapToGrid w:val="0"/>
              <w:jc w:val="center"/>
              <w:textAlignment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3005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pStyle w:val="6"/>
              <w:snapToGrid w:val="0"/>
              <w:spacing w:before="0" w:after="0"/>
              <w:jc w:val="center"/>
              <w:rPr>
                <w:rFonts w:hint="default" w:ascii="Times New Roman" w:hAnsi="Times New Roman" w:eastAsia="宋体" w:cs="Times New Roman"/>
                <w:b w:val="0"/>
                <w:bCs w:val="0"/>
                <w:caps w:val="0"/>
                <w:color w:val="auto"/>
                <w:sz w:val="18"/>
                <w:szCs w:val="18"/>
                <w:lang w:val="en-US" w:eastAsia="zh-CN"/>
              </w:rPr>
            </w:pPr>
            <w:r>
              <w:rPr>
                <w:rFonts w:hint="default" w:ascii="Times New Roman" w:hAnsi="Times New Roman" w:eastAsia="宋体" w:cs="Times New Roman"/>
                <w:b w:val="0"/>
                <w:bCs w:val="0"/>
                <w:caps w:val="0"/>
                <w:color w:val="auto"/>
                <w:sz w:val="18"/>
                <w:szCs w:val="18"/>
                <w:lang w:val="en-US" w:eastAsia="zh-CN"/>
              </w:rPr>
              <w:t>响春底村</w:t>
            </w:r>
          </w:p>
        </w:tc>
        <w:tc>
          <w:tcPr>
            <w:tcW w:w="104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684736</w:t>
            </w:r>
          </w:p>
        </w:tc>
        <w:tc>
          <w:tcPr>
            <w:tcW w:w="118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3194821</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i w:val="0"/>
                <w:iCs w:val="0"/>
                <w:color w:val="auto"/>
                <w:kern w:val="0"/>
                <w:sz w:val="18"/>
                <w:szCs w:val="18"/>
                <w:u w:val="none"/>
                <w:lang w:val="en-US" w:eastAsia="zh-CN" w:bidi="ar"/>
              </w:rPr>
              <w:t>约254户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snapToGrid w:val="0"/>
              <w:jc w:val="center"/>
              <w:textAlignment w:val="center"/>
              <w:rPr>
                <w:rFonts w:hint="default" w:ascii="Times New Roman" w:hAnsi="Times New Roman" w:eastAsia="宋体" w:cs="Times New Roman"/>
                <w:color w:val="auto"/>
                <w:sz w:val="18"/>
                <w:szCs w:val="18"/>
              </w:rPr>
            </w:pPr>
            <w:r>
              <w:rPr>
                <w:rFonts w:hint="default" w:ascii="Times New Roman" w:hAnsi="Times New Roman" w:eastAsia="宋体" w:cs="Times New Roman"/>
                <w:i w:val="0"/>
                <w:iCs w:val="0"/>
                <w:color w:val="auto"/>
                <w:kern w:val="0"/>
                <w:sz w:val="18"/>
                <w:szCs w:val="18"/>
                <w:u w:val="none"/>
                <w:lang w:val="en-US" w:eastAsia="zh-CN" w:bidi="ar"/>
              </w:rPr>
              <w:t>SE</w:t>
            </w:r>
          </w:p>
        </w:tc>
        <w:tc>
          <w:tcPr>
            <w:tcW w:w="1012" w:type="dxa"/>
            <w:noWrap w:val="0"/>
            <w:vAlign w:val="center"/>
          </w:tcPr>
          <w:p>
            <w:pPr>
              <w:snapToGrid w:val="0"/>
              <w:jc w:val="center"/>
              <w:textAlignment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5346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1308" w:type="dxa"/>
            <w:noWrap w:val="0"/>
            <w:vAlign w:val="center"/>
          </w:tcPr>
          <w:p>
            <w:pPr>
              <w:pStyle w:val="6"/>
              <w:snapToGrid w:val="0"/>
              <w:spacing w:before="0" w:after="0"/>
              <w:jc w:val="center"/>
              <w:rPr>
                <w:rFonts w:hint="default" w:ascii="Times New Roman" w:hAnsi="Times New Roman" w:eastAsia="宋体" w:cs="Times New Roman"/>
                <w:b w:val="0"/>
                <w:bCs w:val="0"/>
                <w:caps w:val="0"/>
                <w:color w:val="auto"/>
                <w:sz w:val="18"/>
                <w:szCs w:val="18"/>
                <w:lang w:val="en-US" w:eastAsia="zh-CN"/>
              </w:rPr>
            </w:pPr>
            <w:r>
              <w:rPr>
                <w:rFonts w:hint="default" w:ascii="Times New Roman" w:hAnsi="Times New Roman" w:eastAsia="宋体" w:cs="Times New Roman"/>
                <w:b w:val="0"/>
                <w:bCs w:val="0"/>
                <w:caps w:val="0"/>
                <w:color w:val="auto"/>
                <w:sz w:val="18"/>
                <w:szCs w:val="18"/>
                <w:lang w:val="en-US" w:eastAsia="zh-CN"/>
              </w:rPr>
              <w:t>富里村</w:t>
            </w:r>
          </w:p>
        </w:tc>
        <w:tc>
          <w:tcPr>
            <w:tcW w:w="104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677657</w:t>
            </w:r>
          </w:p>
        </w:tc>
        <w:tc>
          <w:tcPr>
            <w:tcW w:w="118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3199631</w:t>
            </w:r>
          </w:p>
        </w:tc>
        <w:tc>
          <w:tcPr>
            <w:tcW w:w="835" w:type="dxa"/>
            <w:noWrap w:val="0"/>
            <w:vAlign w:val="center"/>
          </w:tcPr>
          <w:p>
            <w:pPr>
              <w:widowControl/>
              <w:adjustRightInd w:val="0"/>
              <w:snapToGrid w:val="0"/>
              <w:jc w:val="center"/>
              <w:rPr>
                <w:rFonts w:hint="default" w:ascii="Times New Roman" w:hAnsi="Times New Roman" w:eastAsia="宋体" w:cs="Times New Roman"/>
                <w:color w:val="auto"/>
                <w:sz w:val="18"/>
                <w:szCs w:val="18"/>
                <w:lang w:eastAsia="en-US"/>
              </w:rPr>
            </w:pPr>
            <w:r>
              <w:rPr>
                <w:rFonts w:hint="default" w:ascii="Times New Roman" w:hAnsi="Times New Roman" w:eastAsia="宋体" w:cs="Times New Roman"/>
                <w:color w:val="auto"/>
                <w:sz w:val="18"/>
                <w:szCs w:val="18"/>
                <w:lang w:eastAsia="en-US"/>
              </w:rPr>
              <w:t>居住区</w:t>
            </w:r>
          </w:p>
        </w:tc>
        <w:tc>
          <w:tcPr>
            <w:tcW w:w="1407" w:type="dxa"/>
            <w:noWrap w:val="0"/>
            <w:vAlign w:val="center"/>
          </w:tcPr>
          <w:p>
            <w:pPr>
              <w:widowControl/>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宋体" w:cs="Times New Roman"/>
                <w:color w:val="auto"/>
                <w:sz w:val="18"/>
                <w:szCs w:val="18"/>
                <w:lang w:val="en-US" w:eastAsia="zh-CN" w:bidi="ar"/>
              </w:rPr>
              <w:t>约</w:t>
            </w:r>
            <w:r>
              <w:rPr>
                <w:rStyle w:val="21"/>
                <w:rFonts w:hint="default" w:ascii="Times New Roman" w:hAnsi="Times New Roman" w:eastAsia="宋体" w:cs="Times New Roman"/>
                <w:color w:val="auto"/>
                <w:sz w:val="18"/>
                <w:szCs w:val="18"/>
                <w:lang w:val="en-US" w:eastAsia="zh-CN" w:bidi="ar"/>
              </w:rPr>
              <w:t>150</w:t>
            </w:r>
            <w:r>
              <w:rPr>
                <w:rFonts w:hint="default" w:ascii="Times New Roman" w:hAnsi="Times New Roman" w:eastAsia="宋体" w:cs="Times New Roman"/>
                <w:color w:val="auto"/>
                <w:sz w:val="18"/>
                <w:szCs w:val="18"/>
                <w:lang w:val="en-US" w:eastAsia="zh-CN" w:bidi="ar"/>
              </w:rPr>
              <w:t>户</w:t>
            </w:r>
          </w:p>
        </w:tc>
        <w:tc>
          <w:tcPr>
            <w:tcW w:w="1459" w:type="dxa"/>
            <w:vMerge w:val="continue"/>
            <w:noWrap w:val="0"/>
            <w:vAlign w:val="center"/>
          </w:tcPr>
          <w:p>
            <w:pPr>
              <w:widowControl/>
              <w:adjustRightInd w:val="0"/>
              <w:snapToGrid w:val="0"/>
              <w:jc w:val="left"/>
              <w:rPr>
                <w:rFonts w:hint="default" w:ascii="Times New Roman" w:hAnsi="Times New Roman" w:eastAsia="宋体" w:cs="Times New Roman"/>
                <w:color w:val="auto"/>
                <w:sz w:val="18"/>
                <w:szCs w:val="21"/>
              </w:rPr>
            </w:pPr>
          </w:p>
        </w:tc>
        <w:tc>
          <w:tcPr>
            <w:tcW w:w="702" w:type="dxa"/>
            <w:noWrap w:val="0"/>
            <w:vAlign w:val="center"/>
          </w:tcPr>
          <w:p>
            <w:pPr>
              <w:snapToGrid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SW</w:t>
            </w:r>
          </w:p>
        </w:tc>
        <w:tc>
          <w:tcPr>
            <w:tcW w:w="1012" w:type="dxa"/>
            <w:noWrap w:val="0"/>
            <w:vAlign w:val="center"/>
          </w:tcPr>
          <w:p>
            <w:pPr>
              <w:snapToGrid w:val="0"/>
              <w:jc w:val="center"/>
              <w:textAlignment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2819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restart"/>
            <w:noWrap w:val="0"/>
            <w:vAlign w:val="center"/>
          </w:tcPr>
          <w:p>
            <w:pPr>
              <w:widowControl/>
              <w:adjustRightInd w:val="0"/>
              <w:snapToGrid w:val="0"/>
              <w:jc w:val="center"/>
              <w:rPr>
                <w:rFonts w:hint="default" w:ascii="Times New Roman" w:hAnsi="Times New Roman" w:eastAsia="宋体" w:cs="Times New Roman"/>
                <w:color w:val="auto"/>
                <w:sz w:val="18"/>
                <w:szCs w:val="22"/>
              </w:rPr>
            </w:pPr>
            <w:r>
              <w:rPr>
                <w:rFonts w:hint="default" w:ascii="Times New Roman" w:hAnsi="Times New Roman" w:eastAsia="宋体" w:cs="Times New Roman"/>
                <w:color w:val="auto"/>
                <w:sz w:val="18"/>
                <w:szCs w:val="22"/>
              </w:rPr>
              <w:t>地表水</w:t>
            </w:r>
          </w:p>
        </w:tc>
        <w:tc>
          <w:tcPr>
            <w:tcW w:w="5780" w:type="dxa"/>
            <w:gridSpan w:val="5"/>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江山港</w:t>
            </w:r>
          </w:p>
        </w:tc>
        <w:tc>
          <w:tcPr>
            <w:tcW w:w="1459" w:type="dxa"/>
            <w:vMerge w:val="restart"/>
            <w:noWrap w:val="0"/>
            <w:vAlign w:val="center"/>
          </w:tcPr>
          <w:p>
            <w:pPr>
              <w:widowControl/>
              <w:snapToGrid w:val="0"/>
              <w:spacing w:line="288" w:lineRule="auto"/>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18"/>
              </w:rPr>
              <w:t>Ⅲ类</w:t>
            </w: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2595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5780" w:type="dxa"/>
            <w:gridSpan w:val="5"/>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乌溪江</w:t>
            </w:r>
          </w:p>
        </w:tc>
        <w:tc>
          <w:tcPr>
            <w:tcW w:w="1459" w:type="dxa"/>
            <w:vMerge w:val="continue"/>
            <w:noWrap w:val="0"/>
            <w:vAlign w:val="center"/>
          </w:tcPr>
          <w:p>
            <w:pPr>
              <w:widowControl/>
              <w:snapToGrid w:val="0"/>
              <w:spacing w:line="288" w:lineRule="auto"/>
              <w:jc w:val="center"/>
              <w:rPr>
                <w:rFonts w:hint="default" w:ascii="Times New Roman" w:hAnsi="Times New Roman" w:eastAsia="宋体" w:cs="Times New Roman"/>
                <w:color w:val="auto"/>
                <w:sz w:val="18"/>
                <w:szCs w:val="18"/>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E</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5525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5780" w:type="dxa"/>
            <w:gridSpan w:val="5"/>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衢江</w:t>
            </w:r>
          </w:p>
        </w:tc>
        <w:tc>
          <w:tcPr>
            <w:tcW w:w="1459" w:type="dxa"/>
            <w:vMerge w:val="continue"/>
            <w:noWrap w:val="0"/>
            <w:vAlign w:val="center"/>
          </w:tcPr>
          <w:p>
            <w:pPr>
              <w:widowControl/>
              <w:snapToGrid w:val="0"/>
              <w:spacing w:line="288" w:lineRule="auto"/>
              <w:jc w:val="center"/>
              <w:rPr>
                <w:rFonts w:hint="default" w:ascii="Times New Roman" w:hAnsi="Times New Roman" w:eastAsia="宋体" w:cs="Times New Roman"/>
                <w:color w:val="auto"/>
                <w:sz w:val="18"/>
                <w:szCs w:val="18"/>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N</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8962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noWrap w:val="0"/>
            <w:vAlign w:val="center"/>
          </w:tcPr>
          <w:p>
            <w:pPr>
              <w:widowControl/>
              <w:adjustRightInd w:val="0"/>
              <w:snapToGrid w:val="0"/>
              <w:jc w:val="center"/>
              <w:rPr>
                <w:rFonts w:hint="default" w:ascii="Times New Roman" w:hAnsi="Times New Roman" w:eastAsia="宋体" w:cs="Times New Roman"/>
                <w:color w:val="auto"/>
                <w:sz w:val="18"/>
                <w:szCs w:val="22"/>
              </w:rPr>
            </w:pPr>
            <w:r>
              <w:rPr>
                <w:rFonts w:hint="default" w:ascii="Times New Roman" w:hAnsi="Times New Roman" w:eastAsia="宋体" w:cs="Times New Roman"/>
                <w:color w:val="auto"/>
                <w:sz w:val="18"/>
                <w:szCs w:val="22"/>
              </w:rPr>
              <w:t>地下水</w:t>
            </w:r>
          </w:p>
        </w:tc>
        <w:tc>
          <w:tcPr>
            <w:tcW w:w="5780" w:type="dxa"/>
            <w:gridSpan w:val="5"/>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项目所在地附近地下水</w:t>
            </w:r>
          </w:p>
        </w:tc>
        <w:tc>
          <w:tcPr>
            <w:tcW w:w="1459" w:type="dxa"/>
            <w:noWrap w:val="0"/>
            <w:vAlign w:val="center"/>
          </w:tcPr>
          <w:p>
            <w:pPr>
              <w:widowControl/>
              <w:snapToGrid w:val="0"/>
              <w:spacing w:line="288"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Ⅲ类</w:t>
            </w: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restart"/>
            <w:noWrap w:val="0"/>
            <w:vAlign w:val="center"/>
          </w:tcPr>
          <w:p>
            <w:pPr>
              <w:widowControl/>
              <w:adjustRightInd w:val="0"/>
              <w:snapToGrid w:val="0"/>
              <w:jc w:val="center"/>
              <w:rPr>
                <w:rFonts w:hint="default" w:ascii="Times New Roman" w:hAnsi="Times New Roman" w:eastAsia="宋体" w:cs="Times New Roman"/>
                <w:color w:val="auto"/>
                <w:sz w:val="18"/>
                <w:szCs w:val="22"/>
              </w:rPr>
            </w:pPr>
            <w:r>
              <w:rPr>
                <w:rFonts w:hint="default" w:ascii="Times New Roman" w:hAnsi="Times New Roman" w:eastAsia="宋体" w:cs="Times New Roman"/>
                <w:color w:val="auto"/>
                <w:sz w:val="18"/>
                <w:szCs w:val="22"/>
              </w:rPr>
              <w:t>声环境</w:t>
            </w:r>
          </w:p>
        </w:tc>
        <w:tc>
          <w:tcPr>
            <w:tcW w:w="5780" w:type="dxa"/>
            <w:gridSpan w:val="5"/>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衢州市高新园区管委会</w:t>
            </w:r>
          </w:p>
        </w:tc>
        <w:tc>
          <w:tcPr>
            <w:tcW w:w="1459" w:type="dxa"/>
            <w:noWrap w:val="0"/>
            <w:vAlign w:val="center"/>
          </w:tcPr>
          <w:p>
            <w:pPr>
              <w:widowControl/>
              <w:snapToGrid w:val="0"/>
              <w:spacing w:line="288"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2类</w:t>
            </w: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5780" w:type="dxa"/>
            <w:gridSpan w:val="5"/>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厂界及厂界外200m范围内</w:t>
            </w:r>
          </w:p>
        </w:tc>
        <w:tc>
          <w:tcPr>
            <w:tcW w:w="1459" w:type="dxa"/>
            <w:noWrap w:val="0"/>
            <w:vAlign w:val="center"/>
          </w:tcPr>
          <w:p>
            <w:pPr>
              <w:widowControl/>
              <w:snapToGrid w:val="0"/>
              <w:spacing w:line="288" w:lineRule="auto"/>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3类</w:t>
            </w: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restart"/>
            <w:noWrap w:val="0"/>
            <w:vAlign w:val="center"/>
          </w:tcPr>
          <w:p>
            <w:pPr>
              <w:widowControl/>
              <w:adjustRightInd w:val="0"/>
              <w:snapToGrid w:val="0"/>
              <w:jc w:val="center"/>
              <w:rPr>
                <w:rFonts w:hint="default" w:ascii="Times New Roman" w:hAnsi="Times New Roman" w:eastAsia="宋体" w:cs="Times New Roman"/>
                <w:color w:val="auto"/>
                <w:sz w:val="18"/>
                <w:szCs w:val="22"/>
              </w:rPr>
            </w:pPr>
            <w:r>
              <w:rPr>
                <w:rFonts w:hint="default" w:ascii="Times New Roman" w:hAnsi="Times New Roman" w:eastAsia="宋体" w:cs="Times New Roman"/>
                <w:color w:val="auto"/>
                <w:sz w:val="18"/>
                <w:szCs w:val="22"/>
              </w:rPr>
              <w:t>土壤</w:t>
            </w:r>
          </w:p>
        </w:tc>
        <w:tc>
          <w:tcPr>
            <w:tcW w:w="5780" w:type="dxa"/>
            <w:gridSpan w:val="5"/>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2"/>
              </w:rPr>
              <w:t>黄家村</w:t>
            </w:r>
          </w:p>
        </w:tc>
        <w:tc>
          <w:tcPr>
            <w:tcW w:w="1459" w:type="dxa"/>
            <w:vMerge w:val="restart"/>
            <w:noWrap w:val="0"/>
            <w:vAlign w:val="center"/>
          </w:tcPr>
          <w:p>
            <w:pPr>
              <w:widowControl/>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GB36600-2018第一、二类建设用地标准</w:t>
            </w: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5780" w:type="dxa"/>
            <w:gridSpan w:val="5"/>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2"/>
              </w:rPr>
              <w:t>十五里村</w:t>
            </w:r>
          </w:p>
        </w:tc>
        <w:tc>
          <w:tcPr>
            <w:tcW w:w="1459" w:type="dxa"/>
            <w:vMerge w:val="continue"/>
            <w:noWrap w:val="0"/>
            <w:vAlign w:val="center"/>
          </w:tcPr>
          <w:p>
            <w:pPr>
              <w:widowControl/>
              <w:snapToGrid w:val="0"/>
              <w:jc w:val="center"/>
              <w:rPr>
                <w:rFonts w:hint="default" w:ascii="Times New Roman" w:hAnsi="Times New Roman" w:eastAsia="宋体" w:cs="Times New Roman"/>
                <w:color w:val="auto"/>
                <w:sz w:val="18"/>
                <w:szCs w:val="18"/>
              </w:rPr>
            </w:pP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NW</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969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5780" w:type="dxa"/>
            <w:gridSpan w:val="5"/>
            <w:noWrap w:val="0"/>
            <w:vAlign w:val="center"/>
          </w:tcPr>
          <w:p>
            <w:pPr>
              <w:widowControl/>
              <w:adjustRightInd w:val="0"/>
              <w:snapToGrid w:val="0"/>
              <w:jc w:val="center"/>
              <w:rPr>
                <w:rFonts w:hint="default" w:ascii="Times New Roman" w:hAnsi="Times New Roman" w:eastAsia="宋体" w:cs="Times New Roman"/>
                <w:color w:val="auto"/>
                <w:sz w:val="18"/>
                <w:szCs w:val="22"/>
              </w:rPr>
            </w:pPr>
            <w:r>
              <w:rPr>
                <w:rFonts w:hint="default" w:ascii="Times New Roman" w:hAnsi="Times New Roman" w:eastAsia="宋体" w:cs="Times New Roman"/>
                <w:color w:val="auto"/>
                <w:sz w:val="18"/>
                <w:szCs w:val="22"/>
              </w:rPr>
              <w:t>耕地（农田）</w:t>
            </w:r>
          </w:p>
        </w:tc>
        <w:tc>
          <w:tcPr>
            <w:tcW w:w="1459" w:type="dxa"/>
            <w:noWrap w:val="0"/>
            <w:vAlign w:val="center"/>
          </w:tcPr>
          <w:p>
            <w:pPr>
              <w:widowControl/>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GB15618-2018表1中的“其他”</w:t>
            </w:r>
          </w:p>
        </w:tc>
        <w:tc>
          <w:tcPr>
            <w:tcW w:w="702" w:type="dxa"/>
            <w:noWrap w:val="0"/>
            <w:vAlign w:val="center"/>
          </w:tcPr>
          <w:p>
            <w:pPr>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Cs/>
                <w:color w:val="auto"/>
                <w:sz w:val="18"/>
                <w:szCs w:val="18"/>
              </w:rPr>
              <w:t>W</w:t>
            </w:r>
          </w:p>
        </w:tc>
        <w:tc>
          <w:tcPr>
            <w:tcW w:w="1012" w:type="dxa"/>
            <w:noWrap w:val="0"/>
            <w:vAlign w:val="center"/>
          </w:tcPr>
          <w:p>
            <w:pPr>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Cs/>
                <w:color w:val="auto"/>
                <w:sz w:val="18"/>
                <w:szCs w:val="18"/>
              </w:rPr>
              <w:t>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vMerge w:val="continue"/>
            <w:noWrap w:val="0"/>
            <w:vAlign w:val="center"/>
          </w:tcPr>
          <w:p>
            <w:pPr>
              <w:widowControl/>
              <w:adjustRightInd w:val="0"/>
              <w:snapToGrid w:val="0"/>
              <w:jc w:val="center"/>
              <w:rPr>
                <w:rFonts w:hint="default" w:ascii="Times New Roman" w:hAnsi="Times New Roman" w:eastAsia="宋体" w:cs="Times New Roman"/>
                <w:color w:val="auto"/>
                <w:sz w:val="18"/>
                <w:szCs w:val="22"/>
              </w:rPr>
            </w:pPr>
          </w:p>
        </w:tc>
        <w:tc>
          <w:tcPr>
            <w:tcW w:w="5780" w:type="dxa"/>
            <w:gridSpan w:val="5"/>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建设项目占地范围内全部，占地范围外1000m范围内</w:t>
            </w:r>
          </w:p>
        </w:tc>
        <w:tc>
          <w:tcPr>
            <w:tcW w:w="1459" w:type="dxa"/>
            <w:noWrap w:val="0"/>
            <w:vAlign w:val="center"/>
          </w:tcPr>
          <w:p>
            <w:pPr>
              <w:widowControl/>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GB36600-2018第二类建设用地标准</w:t>
            </w:r>
          </w:p>
        </w:tc>
        <w:tc>
          <w:tcPr>
            <w:tcW w:w="70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w:t>
            </w:r>
          </w:p>
        </w:tc>
        <w:tc>
          <w:tcPr>
            <w:tcW w:w="1012" w:type="dxa"/>
            <w:noWrap w:val="0"/>
            <w:vAlign w:val="center"/>
          </w:tcPr>
          <w:p>
            <w:pPr>
              <w:widowControl/>
              <w:adjustRightInd w:val="0"/>
              <w:snapToGrid w:val="0"/>
              <w:jc w:val="center"/>
              <w:rPr>
                <w:rFonts w:hint="default" w:ascii="Times New Roman" w:hAnsi="Times New Roman" w:eastAsia="宋体" w:cs="Times New Roman"/>
                <w:color w:val="auto"/>
                <w:sz w:val="18"/>
                <w:szCs w:val="21"/>
              </w:rPr>
            </w:pPr>
            <w:r>
              <w:rPr>
                <w:rFonts w:hint="default" w:ascii="Times New Roman" w:hAnsi="Times New Roman" w:eastAsia="宋体" w:cs="Times New Roman"/>
                <w:color w:val="auto"/>
                <w:sz w:val="18"/>
                <w:szCs w:val="21"/>
              </w:rPr>
              <w:t>/</w:t>
            </w:r>
          </w:p>
        </w:tc>
      </w:tr>
    </w:tbl>
    <w:p>
      <w:pPr>
        <w:keepNext w:val="0"/>
        <w:keepLines w:val="0"/>
        <w:pageBreakBefore w:val="0"/>
        <w:widowControl/>
        <w:kinsoku/>
        <w:wordWrap/>
        <w:overflowPunct/>
        <w:topLinePunct w:val="0"/>
        <w:bidi w:val="0"/>
        <w:spacing w:line="240" w:lineRule="auto"/>
        <w:jc w:val="left"/>
        <w:rPr>
          <w:rFonts w:ascii="宋体" w:hAnsi="宋体" w:eastAsia="宋体" w:cs="宋体"/>
          <w:b/>
          <w:color w:val="auto"/>
          <w:kern w:val="0"/>
          <w:sz w:val="30"/>
          <w:szCs w:val="30"/>
        </w:rPr>
      </w:pPr>
      <w:r>
        <w:rPr>
          <w:rFonts w:hint="eastAsia" w:ascii="宋体" w:hAnsi="宋体" w:eastAsia="宋体" w:cs="宋体"/>
          <w:b/>
          <w:color w:val="auto"/>
          <w:kern w:val="0"/>
          <w:sz w:val="30"/>
          <w:szCs w:val="30"/>
        </w:rPr>
        <w:t>三、主要环境影响预测情况</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1、废气影响分析</w:t>
      </w:r>
    </w:p>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项目废气污染物最大地面浓度均较小，区域环境空气质量仍能满足环境空气质量标准要求，周边环境保护目标仍可满足环境空气质量标准要求。</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2、废水影响分析</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（1）地表水影响分析</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根据工程分析，本项目生产废水排放总量为6500t/a（21.67t/d），主要污染物产生量为CODcr2.84t/a、氨氮0.025t/a、AOX0.016t/a、氯离子18.22t/a，经管道收集输送至厂区内污水处理站预处理达到纳管标准排入巨化环科污水处理厂。</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本项目废水采用废水分质分类收集和处理。从污染防治措施来看，本项目生产废水中经厂内污水处理站采用“混凝沉淀+气浮+生化+MBR膜化学”工艺处理后可达到纳管标准，污水处理站废水处理能力600t/d，能满足废水处理需求经预处理后的废水排入园区污水管道，排放至巨化环科污水处理厂处理达标外排。</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由以上分析可知，本项目水污染控制措施有效，正常情况下，由于本项目所有污水纳管，因此正常情况下对周边区域水体水质影响较小。</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（2）地下水影响分析</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根据地下水预测可知，根据预测结果，100天时，铁预测叠加后的最大值为79.28mg/L，其出现的距离为64m，最远超标距离为76m；1000天时，铁预测叠加后的最大值为25.12mg/L，其出现的距离为640m，最远超标距离为668m；10000天时，铁预测叠加后的最大值为1.28mg/L，其出现的距离为6400m，最远超标距离为6502m；铜预测叠加后的最大值为7.67mg/L，其出现的距离为64m，最远超标距离为70m；1000天时，铜预测叠加后的最大值为2.56mg/L，其出现的距离为640m，最远超标距离为653m；10000天时，铜预测叠加后的最大值为0.95mg/L，其出现的距离为6400m，无超标浓度；锌预测叠加后的最大值为69.54mg/L，其出现的距离为64m，最远超标距离为72m；1000天时，锌预测叠加后的最大值为22.01mg/L，其出现的距离为640m，最远超标距离为664m；10000天时，锌预测叠加后的最大值为6.95mg/L，其出现的距离为6400m，最远超标距离为6459m；铝预测叠加后的最大值为77.322mg/L，其出现的距离为64m，最远超标距离为74m；1000天时，铝预测叠加后的最大值为24.478mg/L，其出现的距离为640m，最远超标距离为670m；10000天时，铝预测叠加后的最大值为7.767mg/L，其出现的距离为6400m，最远超标距离为6482m；非正常工况污染预测结果表明，地下水一旦遭受污染，污染物会在地下水中弥散，造成较大范围地下水污染。因此建设单位须建设完备的环境事故风险防范措施，并加强管理，在发生意外泄露的情形下，要在泄露初期及时控制污染物，综合采取水动力控制、抽采或阻隔等方法，在污染物进一步运移扩散前将其控制、处理，避免对下游地下水造成污染影响。</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（3）固废影响分析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color w:val="auto"/>
          <w:kern w:val="2"/>
          <w:sz w:val="24"/>
          <w:szCs w:val="24"/>
          <w:lang w:val="en-US" w:eastAsia="zh-CN" w:bidi="ar-SA"/>
        </w:rPr>
      </w:pPr>
      <w:bookmarkStart w:id="0" w:name="_Toc339503947"/>
      <w:bookmarkStart w:id="1" w:name="_Toc339524888"/>
      <w:r>
        <w:rPr>
          <w:rFonts w:hint="eastAsia" w:ascii="Times New Roman" w:hAnsi="Times New Roman" w:eastAsia="宋体" w:cs="宋体"/>
          <w:color w:val="auto"/>
          <w:kern w:val="2"/>
          <w:sz w:val="24"/>
          <w:szCs w:val="24"/>
          <w:lang w:val="en-US" w:eastAsia="zh-CN" w:bidi="ar-SA"/>
        </w:rPr>
        <w:t>项目产生的危废主要为含酸废水、废过滤材料、废滤布和检验化验废物，委托资质单位处置，去铜硅粉在判定属性前按危废管理，委托有资质单位处置。固废分类堆放，并设置专门的防雨棚、场地进行堆放，固废应及时清运。项目产生的固废基本上能做到综合利用或者有效处理，周围环境基本能维持现状。。</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（4）声环境影响分析</w:t>
      </w:r>
      <w:bookmarkEnd w:id="0"/>
      <w:bookmarkEnd w:id="1"/>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根据预测结果可知，落实各项噪声防治措施后，项目实施后，东厂界和南厂界预测点噪声叠加值能符合《工业企业厂界环境噪声排放标准》（GB12348-2008）3类标准，西厂界和北厂界预测点噪声叠加值能符合《工业企业厂界环境噪声排放标准》（GB12348-2008）4类标准；敏感点叠加值满足《声环境质量标准》（GB3096-2008）中2类标准。</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因此，企业在做好噪声污染防治措施的基础上，本项目实施后对周边环境的噪声影响不大，该区域声环境质量基本能维持现状。</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right="0" w:firstLine="472" w:firstLineChars="200"/>
        <w:jc w:val="left"/>
        <w:textAlignment w:val="auto"/>
        <w:rPr>
          <w:rFonts w:ascii="Times New Roman" w:hAnsi="Times New Roman" w:eastAsia="宋体" w:cs="Times New Roman"/>
          <w:b w:val="0"/>
          <w:color w:val="auto"/>
          <w:kern w:val="2"/>
          <w:sz w:val="24"/>
          <w:szCs w:val="24"/>
          <w:lang w:val="en-US" w:eastAsia="zh-CN" w:bidi="ar-SA"/>
        </w:rPr>
      </w:pPr>
      <w:r>
        <w:rPr>
          <w:rFonts w:hint="eastAsia" w:ascii="Times New Roman" w:hAnsi="Times New Roman" w:eastAsia="宋体" w:cs="Times New Roman"/>
          <w:b w:val="0"/>
          <w:color w:val="auto"/>
          <w:spacing w:val="-2"/>
          <w:kern w:val="2"/>
          <w:sz w:val="24"/>
          <w:szCs w:val="24"/>
          <w:lang w:val="en-US" w:eastAsia="zh-CN" w:bidi="ar-SA"/>
        </w:rPr>
        <w:t>土壤</w:t>
      </w:r>
      <w:r>
        <w:rPr>
          <w:rFonts w:hint="eastAsia" w:ascii="Times New Roman" w:hAnsi="Times New Roman" w:eastAsia="宋体" w:cs="宋体"/>
          <w:color w:val="auto"/>
          <w:kern w:val="2"/>
          <w:sz w:val="24"/>
          <w:szCs w:val="24"/>
          <w:lang w:val="en-US" w:eastAsia="zh-CN" w:bidi="ar-SA"/>
        </w:rPr>
        <w:t>环境影响分析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现状土壤环境质量监测结果表明：本项目各监测点土壤监测指标均不超标，低于GB36600-2018第二类建设用地筛选值，项目区域土壤现状环境质量良好。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2）本项目在事故状态下液态物料、生产废水、渗滤液通过地面漫流、垂直渗入的形式渗入周边土壤，可能会造成土壤环境影响。由上表可知，项目正常排放酸性气体和碱性气体沉降30年后在评价区域土壤中的累计值在5.5≤pH≤8.5（无酸化或碱化）的范围内，因此对土壤环境影响较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3）项目采取的土壤、地下水防治措施。本项目占地范围内的土壤环境质量无超标点位。对土壤可能产生影响的途径为液态物料、生产废水、渗滤液通过地面漫流的形式渗入周边土壤的土壤污染途径，重点防治区域为危废暂存间、储罐区、仓库等。根据固体废物处置措施和地下水污染防治措施章节，以上重点污染防治区均按相应标准设计、施工并做好防渗措施，能有效降低对土壤的污染影响</w:t>
      </w:r>
      <w:r>
        <w:rPr>
          <w:rFonts w:ascii="Times New Roman" w:hAnsi="Times New Roman" w:eastAsia="宋体"/>
          <w:color w:val="auto"/>
          <w:sz w:val="24"/>
          <w:szCs w:val="24"/>
        </w:rPr>
        <w:t>。</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right="0" w:firstLine="472" w:firstLineChars="200"/>
        <w:jc w:val="left"/>
        <w:textAlignment w:val="auto"/>
        <w:rPr>
          <w:rFonts w:ascii="Times New Roman" w:hAnsi="Times New Roman" w:eastAsia="宋体" w:cs="Times New Roman"/>
          <w:b w:val="0"/>
          <w:color w:val="auto"/>
          <w:kern w:val="2"/>
          <w:sz w:val="24"/>
          <w:szCs w:val="24"/>
          <w:lang w:val="en-US" w:eastAsia="zh-CN" w:bidi="ar-SA"/>
        </w:rPr>
      </w:pPr>
      <w:r>
        <w:rPr>
          <w:rFonts w:hint="eastAsia" w:ascii="Times New Roman" w:hAnsi="Times New Roman" w:eastAsia="宋体" w:cs="Times New Roman"/>
          <w:b w:val="0"/>
          <w:color w:val="auto"/>
          <w:spacing w:val="-2"/>
          <w:kern w:val="2"/>
          <w:sz w:val="24"/>
          <w:szCs w:val="24"/>
          <w:lang w:val="en-US" w:eastAsia="zh-CN" w:bidi="ar-SA"/>
        </w:rPr>
        <w:t>生态</w:t>
      </w:r>
      <w:r>
        <w:rPr>
          <w:rFonts w:hint="eastAsia" w:ascii="Times New Roman" w:hAnsi="Times New Roman" w:eastAsia="宋体" w:cs="宋体"/>
          <w:color w:val="auto"/>
          <w:kern w:val="2"/>
          <w:sz w:val="24"/>
          <w:szCs w:val="24"/>
          <w:lang w:val="en-US" w:eastAsia="zh-CN" w:bidi="ar-SA"/>
        </w:rPr>
        <w:t>环境影响分析</w:t>
      </w:r>
    </w:p>
    <w:p>
      <w:pPr>
        <w:keepNext w:val="0"/>
        <w:keepLines w:val="0"/>
        <w:pageBreakBefore w:val="0"/>
        <w:widowControl w:val="0"/>
        <w:kinsoku/>
        <w:wordWrap/>
        <w:overflowPunct/>
        <w:topLinePunct w:val="0"/>
        <w:autoSpaceDE/>
        <w:autoSpaceDN/>
        <w:bidi w:val="0"/>
        <w:adjustRightInd/>
        <w:snapToGrid/>
        <w:spacing w:line="360" w:lineRule="auto"/>
        <w:ind w:right="0" w:firstLine="567"/>
        <w:jc w:val="left"/>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拟建地位于衢州市智造新城高新技术园区内，周边无自然保护区、风景名胜区等特殊和重要生态敏感区，为一般区域。项目建成后，企业拟采取一定的生态补偿措施，在厂内进行绿化，可维护项目周围生态环境。根据风险分析，本项目运营后环境风险事故有完善的应急体系，事故发生后可得到有效控制，且风险控制范围内无珍稀濒危野生动植物，风险事故间接造成的生态破坏属于可接受范围。</w:t>
      </w:r>
    </w:p>
    <w:p>
      <w:pPr>
        <w:keepNext w:val="0"/>
        <w:keepLines w:val="0"/>
        <w:pageBreakBefore w:val="0"/>
        <w:widowControl/>
        <w:kinsoku/>
        <w:wordWrap/>
        <w:overflowPunct/>
        <w:topLinePunct w:val="0"/>
        <w:bidi w:val="0"/>
        <w:spacing w:line="240" w:lineRule="auto"/>
        <w:jc w:val="left"/>
        <w:rPr>
          <w:rFonts w:ascii="宋体" w:hAnsi="宋体" w:eastAsia="宋体" w:cs="宋体"/>
          <w:b/>
          <w:color w:val="auto"/>
          <w:kern w:val="0"/>
          <w:sz w:val="28"/>
          <w:szCs w:val="28"/>
        </w:rPr>
      </w:pPr>
      <w:r>
        <w:rPr>
          <w:rFonts w:hint="eastAsia" w:ascii="宋体" w:hAnsi="宋体" w:eastAsia="宋体" w:cs="宋体"/>
          <w:b/>
          <w:color w:val="auto"/>
          <w:kern w:val="0"/>
          <w:sz w:val="28"/>
          <w:szCs w:val="28"/>
        </w:rPr>
        <w:t>四、拟采取的主要环保措施、环境风险防范措施以及预期效果</w:t>
      </w:r>
    </w:p>
    <w:p>
      <w:pPr>
        <w:keepNext w:val="0"/>
        <w:keepLines w:val="0"/>
        <w:pageBreakBefore w:val="0"/>
        <w:kinsoku/>
        <w:wordWrap/>
        <w:overflowPunct/>
        <w:topLinePunct w:val="0"/>
        <w:bidi w:val="0"/>
        <w:spacing w:line="24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本项目拟采取的主要环保措施及预期效果见表2。</w:t>
      </w:r>
    </w:p>
    <w:p>
      <w:pPr>
        <w:keepNext w:val="0"/>
        <w:keepLines w:val="0"/>
        <w:pageBreakBefore w:val="0"/>
        <w:kinsoku/>
        <w:wordWrap/>
        <w:overflowPunct/>
        <w:topLinePunct w:val="0"/>
        <w:bidi w:val="0"/>
        <w:spacing w:line="240" w:lineRule="auto"/>
        <w:ind w:firstLine="422" w:firstLineChars="200"/>
        <w:jc w:val="center"/>
        <w:rPr>
          <w:rStyle w:val="12"/>
          <w:rFonts w:hint="default" w:ascii="Times New Roman" w:hAnsi="Times New Roman" w:eastAsia="宋体" w:cs="Times New Roman"/>
          <w:color w:val="auto"/>
        </w:rPr>
      </w:pPr>
      <w:r>
        <w:rPr>
          <w:rStyle w:val="12"/>
          <w:rFonts w:hint="default" w:ascii="Times New Roman" w:hAnsi="Times New Roman" w:eastAsia="宋体" w:cs="Times New Roman"/>
          <w:color w:val="auto"/>
        </w:rPr>
        <w:t>表2  污染治理措施汇总表</w:t>
      </w:r>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447"/>
        <w:gridCol w:w="3552"/>
        <w:gridCol w:w="2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9" w:type="dxa"/>
            <w:vAlign w:val="center"/>
          </w:tcPr>
          <w:p>
            <w:pPr>
              <w:keepNext w:val="0"/>
              <w:keepLines w:val="0"/>
              <w:pageBreakBefore w:val="0"/>
              <w:widowControl w:val="0"/>
              <w:kinsoku/>
              <w:wordWrap/>
              <w:overflowPunct/>
              <w:topLinePunct w:val="0"/>
              <w:autoSpaceDE w:val="0"/>
              <w:autoSpaceDN w:val="0"/>
              <w:bidi w:val="0"/>
              <w:snapToGrid w:val="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类别</w:t>
            </w:r>
          </w:p>
        </w:tc>
        <w:tc>
          <w:tcPr>
            <w:tcW w:w="1447" w:type="dxa"/>
            <w:vAlign w:val="center"/>
          </w:tcPr>
          <w:p>
            <w:pPr>
              <w:keepNext w:val="0"/>
              <w:keepLines w:val="0"/>
              <w:pageBreakBefore w:val="0"/>
              <w:widowControl w:val="0"/>
              <w:kinsoku/>
              <w:wordWrap/>
              <w:overflowPunct/>
              <w:topLinePunct w:val="0"/>
              <w:autoSpaceDE w:val="0"/>
              <w:autoSpaceDN w:val="0"/>
              <w:bidi w:val="0"/>
              <w:snapToGrid w:val="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污染源</w:t>
            </w:r>
          </w:p>
        </w:tc>
        <w:tc>
          <w:tcPr>
            <w:tcW w:w="3552" w:type="dxa"/>
            <w:vAlign w:val="center"/>
          </w:tcPr>
          <w:p>
            <w:pPr>
              <w:keepNext w:val="0"/>
              <w:keepLines w:val="0"/>
              <w:pageBreakBefore w:val="0"/>
              <w:widowControl w:val="0"/>
              <w:kinsoku/>
              <w:wordWrap/>
              <w:overflowPunct/>
              <w:topLinePunct w:val="0"/>
              <w:bidi w:val="0"/>
              <w:snapToGrid w:val="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治理措施</w:t>
            </w:r>
          </w:p>
        </w:tc>
        <w:tc>
          <w:tcPr>
            <w:tcW w:w="2874" w:type="dxa"/>
            <w:vAlign w:val="center"/>
          </w:tcPr>
          <w:p>
            <w:pPr>
              <w:keepNext w:val="0"/>
              <w:keepLines w:val="0"/>
              <w:pageBreakBefore w:val="0"/>
              <w:widowControl w:val="0"/>
              <w:kinsoku/>
              <w:wordWrap/>
              <w:overflowPunct/>
              <w:topLinePunct w:val="0"/>
              <w:autoSpaceDE w:val="0"/>
              <w:autoSpaceDN w:val="0"/>
              <w:bidi w:val="0"/>
              <w:snapToGrid w:val="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预计处理效果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9" w:type="dxa"/>
            <w:vMerge w:val="restart"/>
            <w:vAlign w:val="center"/>
          </w:tcPr>
          <w:p>
            <w:pPr>
              <w:keepNext w:val="0"/>
              <w:keepLines w:val="0"/>
              <w:pageBreakBefore w:val="0"/>
              <w:widowControl w:val="0"/>
              <w:kinsoku/>
              <w:wordWrap/>
              <w:overflowPunct/>
              <w:topLinePunct w:val="0"/>
              <w:autoSpaceDE w:val="0"/>
              <w:autoSpaceDN w:val="0"/>
              <w:bidi w:val="0"/>
              <w:snapToGrid w:val="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废气</w:t>
            </w:r>
          </w:p>
        </w:tc>
        <w:tc>
          <w:tcPr>
            <w:tcW w:w="14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宋体" w:cs="宋体"/>
                <w:i w:val="0"/>
                <w:color w:val="auto"/>
                <w:kern w:val="0"/>
                <w:sz w:val="18"/>
                <w:szCs w:val="18"/>
                <w:u w:val="none"/>
                <w:lang w:val="en-US" w:eastAsia="zh-CN"/>
              </w:rPr>
            </w:pPr>
            <w:r>
              <w:rPr>
                <w:rFonts w:hint="eastAsia" w:ascii="Times New Roman" w:hAnsi="Times New Roman" w:eastAsia="宋体" w:cs="宋体"/>
                <w:i w:val="0"/>
                <w:color w:val="auto"/>
                <w:kern w:val="0"/>
                <w:sz w:val="18"/>
                <w:szCs w:val="18"/>
                <w:u w:val="none"/>
                <w:lang w:val="en-US" w:eastAsia="zh-CN"/>
              </w:rPr>
              <w:t>各工序酸性有机废气</w:t>
            </w:r>
          </w:p>
        </w:tc>
        <w:tc>
          <w:tcPr>
            <w:tcW w:w="3552" w:type="dxa"/>
            <w:vAlign w:val="center"/>
          </w:tcPr>
          <w:p>
            <w:pPr>
              <w:keepNext w:val="0"/>
              <w:keepLines w:val="0"/>
              <w:widowControl/>
              <w:suppressLineNumbers w:val="0"/>
              <w:jc w:val="center"/>
              <w:textAlignment w:val="center"/>
              <w:rPr>
                <w:rFonts w:ascii="Times New Roman" w:hAnsi="Times New Roman" w:eastAsia="宋体"/>
                <w:color w:val="auto"/>
                <w:sz w:val="18"/>
                <w:szCs w:val="18"/>
              </w:rPr>
            </w:pPr>
            <w:r>
              <w:rPr>
                <w:rFonts w:hint="eastAsia" w:ascii="Times New Roman" w:hAnsi="Times New Roman" w:eastAsia="宋体" w:cs="宋体"/>
                <w:i w:val="0"/>
                <w:color w:val="auto"/>
                <w:kern w:val="0"/>
                <w:sz w:val="18"/>
                <w:szCs w:val="18"/>
                <w:u w:val="none"/>
                <w:lang w:val="en-US" w:eastAsia="zh-CN" w:bidi="ar"/>
              </w:rPr>
              <w:t>项目设置6套尾气处理装置装置，采用碱喷淋对酸性废气处理经6个20m高排气筒排放</w:t>
            </w:r>
          </w:p>
        </w:tc>
        <w:tc>
          <w:tcPr>
            <w:tcW w:w="2874" w:type="dxa"/>
            <w:vMerge w:val="restart"/>
            <w:vAlign w:val="center"/>
          </w:tcPr>
          <w:p>
            <w:pPr>
              <w:keepNext w:val="0"/>
              <w:keepLines w:val="0"/>
              <w:pageBreakBefore w:val="0"/>
              <w:widowControl w:val="0"/>
              <w:kinsoku/>
              <w:wordWrap/>
              <w:overflowPunct/>
              <w:topLinePunct w:val="0"/>
              <w:autoSpaceDE w:val="0"/>
              <w:autoSpaceDN w:val="0"/>
              <w:bidi w:val="0"/>
              <w:snapToGrid w:val="0"/>
              <w:jc w:val="center"/>
              <w:textAlignment w:val="auto"/>
              <w:rPr>
                <w:rFonts w:hint="eastAsia" w:ascii="Times New Roman" w:hAnsi="Times New Roman" w:eastAsia="宋体"/>
                <w:color w:val="auto"/>
                <w:sz w:val="18"/>
                <w:szCs w:val="18"/>
              </w:rPr>
            </w:pPr>
            <w:r>
              <w:rPr>
                <w:rFonts w:ascii="Times New Roman" w:hAnsi="Times New Roman" w:eastAsia="宋体"/>
                <w:color w:val="auto"/>
                <w:sz w:val="18"/>
                <w:szCs w:val="18"/>
              </w:rPr>
              <w:t>项目各废气污染物均可达到</w:t>
            </w:r>
            <w:r>
              <w:rPr>
                <w:rFonts w:hint="eastAsia" w:ascii="Times New Roman" w:hAnsi="Times New Roman" w:eastAsia="宋体"/>
                <w:color w:val="auto"/>
                <w:sz w:val="18"/>
                <w:szCs w:val="18"/>
                <w:lang w:eastAsia="zh-CN"/>
              </w:rPr>
              <w:t>《</w:t>
            </w:r>
            <w:r>
              <w:rPr>
                <w:rFonts w:ascii="Times New Roman" w:hAnsi="Times New Roman" w:eastAsia="宋体"/>
                <w:color w:val="auto"/>
                <w:sz w:val="18"/>
                <w:szCs w:val="18"/>
              </w:rPr>
              <w:t>大气污染物综合排放标准</w:t>
            </w:r>
            <w:r>
              <w:rPr>
                <w:rFonts w:hint="eastAsia" w:ascii="Times New Roman" w:hAnsi="Times New Roman" w:eastAsia="宋体"/>
                <w:color w:val="auto"/>
                <w:sz w:val="18"/>
                <w:szCs w:val="18"/>
                <w:lang w:eastAsia="zh-CN"/>
              </w:rPr>
              <w:t>》</w:t>
            </w:r>
            <w:r>
              <w:rPr>
                <w:rFonts w:ascii="Times New Roman" w:hAnsi="Times New Roman" w:eastAsia="宋体"/>
                <w:color w:val="auto"/>
                <w:sz w:val="18"/>
                <w:szCs w:val="18"/>
              </w:rPr>
              <w:t>(GB16297-1996)中新污染源二级标准及相关标准限值要求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9" w:type="dxa"/>
            <w:vMerge w:val="continue"/>
            <w:vAlign w:val="center"/>
          </w:tcPr>
          <w:p>
            <w:pPr>
              <w:keepNext w:val="0"/>
              <w:keepLines w:val="0"/>
              <w:pageBreakBefore w:val="0"/>
              <w:widowControl w:val="0"/>
              <w:kinsoku/>
              <w:wordWrap/>
              <w:overflowPunct/>
              <w:topLinePunct w:val="0"/>
              <w:bidi w:val="0"/>
              <w:textAlignment w:val="auto"/>
              <w:rPr>
                <w:rFonts w:ascii="Times New Roman" w:hAnsi="Times New Roman" w:eastAsia="宋体"/>
                <w:color w:val="auto"/>
                <w:sz w:val="18"/>
                <w:szCs w:val="18"/>
              </w:rPr>
            </w:pPr>
          </w:p>
        </w:tc>
        <w:tc>
          <w:tcPr>
            <w:tcW w:w="1447" w:type="dxa"/>
            <w:vAlign w:val="center"/>
          </w:tcPr>
          <w:p>
            <w:pPr>
              <w:keepNext w:val="0"/>
              <w:keepLines w:val="0"/>
              <w:pageBreakBefore w:val="0"/>
              <w:widowControl w:val="0"/>
              <w:kinsoku/>
              <w:wordWrap/>
              <w:overflowPunct/>
              <w:topLinePunct w:val="0"/>
              <w:bidi w:val="0"/>
              <w:jc w:val="center"/>
              <w:textAlignment w:val="auto"/>
              <w:rPr>
                <w:rFonts w:ascii="Times New Roman" w:hAnsi="Times New Roman" w:eastAsia="宋体"/>
                <w:color w:val="auto"/>
                <w:sz w:val="18"/>
                <w:szCs w:val="18"/>
              </w:rPr>
            </w:pPr>
            <w:r>
              <w:rPr>
                <w:rFonts w:ascii="Times New Roman" w:hAnsi="Times New Roman" w:eastAsia="宋体"/>
                <w:color w:val="auto"/>
                <w:kern w:val="2"/>
                <w:sz w:val="18"/>
                <w:szCs w:val="18"/>
              </w:rPr>
              <w:t>无组织废气</w:t>
            </w:r>
          </w:p>
        </w:tc>
        <w:tc>
          <w:tcPr>
            <w:tcW w:w="3552" w:type="dxa"/>
            <w:vAlign w:val="center"/>
          </w:tcPr>
          <w:p>
            <w:pPr>
              <w:keepNext w:val="0"/>
              <w:keepLines w:val="0"/>
              <w:pageBreakBefore w:val="0"/>
              <w:widowControl w:val="0"/>
              <w:kinsoku/>
              <w:wordWrap/>
              <w:overflowPunct/>
              <w:topLinePunct w:val="0"/>
              <w:bidi w:val="0"/>
              <w:snapToGrid w:val="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加强管理，减少排放</w:t>
            </w:r>
          </w:p>
        </w:tc>
        <w:tc>
          <w:tcPr>
            <w:tcW w:w="2874" w:type="dxa"/>
            <w:vMerge w:val="continue"/>
            <w:vAlign w:val="center"/>
          </w:tcPr>
          <w:p>
            <w:pPr>
              <w:keepNext w:val="0"/>
              <w:keepLines w:val="0"/>
              <w:pageBreakBefore w:val="0"/>
              <w:widowControl w:val="0"/>
              <w:kinsoku/>
              <w:wordWrap/>
              <w:overflowPunct/>
              <w:topLinePunct w:val="0"/>
              <w:bidi w:val="0"/>
              <w:textAlignment w:val="auto"/>
              <w:rPr>
                <w:rFonts w:ascii="Times New Roman" w:hAnsi="Times New Roman" w:eastAsia="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49" w:type="dxa"/>
            <w:vMerge w:val="restart"/>
            <w:vAlign w:val="center"/>
          </w:tcPr>
          <w:p>
            <w:pPr>
              <w:keepNext w:val="0"/>
              <w:keepLines w:val="0"/>
              <w:pageBreakBefore w:val="0"/>
              <w:widowControl w:val="0"/>
              <w:kinsoku/>
              <w:wordWrap/>
              <w:overflowPunct/>
              <w:topLinePunct w:val="0"/>
              <w:bidi w:val="0"/>
              <w:snapToGrid w:val="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废水</w:t>
            </w:r>
          </w:p>
        </w:tc>
        <w:tc>
          <w:tcPr>
            <w:tcW w:w="1447" w:type="dxa"/>
            <w:vAlign w:val="center"/>
          </w:tcPr>
          <w:p>
            <w:pPr>
              <w:keepNext w:val="0"/>
              <w:keepLines w:val="0"/>
              <w:pageBreakBefore w:val="0"/>
              <w:widowControl w:val="0"/>
              <w:kinsoku/>
              <w:wordWrap/>
              <w:overflowPunct/>
              <w:topLinePunct w:val="0"/>
              <w:bidi w:val="0"/>
              <w:snapToGrid w:val="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生产废水</w:t>
            </w:r>
          </w:p>
        </w:tc>
        <w:tc>
          <w:tcPr>
            <w:tcW w:w="3552" w:type="dxa"/>
            <w:vAlign w:val="center"/>
          </w:tcPr>
          <w:p>
            <w:pPr>
              <w:keepNext w:val="0"/>
              <w:keepLines w:val="0"/>
              <w:pageBreakBefore w:val="0"/>
              <w:widowControl w:val="0"/>
              <w:kinsoku/>
              <w:wordWrap/>
              <w:overflowPunct/>
              <w:topLinePunct w:val="0"/>
              <w:bidi w:val="0"/>
              <w:snapToGrid w:val="0"/>
              <w:jc w:val="center"/>
              <w:textAlignment w:val="auto"/>
              <w:rPr>
                <w:rFonts w:ascii="Times New Roman" w:hAnsi="Times New Roman" w:eastAsia="宋体"/>
                <w:color w:val="auto"/>
                <w:sz w:val="18"/>
                <w:szCs w:val="18"/>
              </w:rPr>
            </w:pPr>
            <w:r>
              <w:rPr>
                <w:rFonts w:hint="eastAsia" w:ascii="Times New Roman" w:hAnsi="Times New Roman" w:eastAsia="宋体"/>
                <w:color w:val="auto"/>
                <w:sz w:val="18"/>
                <w:szCs w:val="18"/>
              </w:rPr>
              <w:t>经管道收集进厂区污水站预处理</w:t>
            </w:r>
            <w:r>
              <w:rPr>
                <w:rFonts w:ascii="Times New Roman" w:hAnsi="Times New Roman" w:eastAsia="宋体"/>
                <w:color w:val="auto"/>
                <w:sz w:val="18"/>
                <w:szCs w:val="18"/>
              </w:rPr>
              <w:t>后送</w:t>
            </w:r>
            <w:r>
              <w:rPr>
                <w:rFonts w:hint="eastAsia" w:ascii="Times New Roman" w:hAnsi="Times New Roman" w:eastAsia="宋体" w:cs="宋体"/>
                <w:color w:val="auto"/>
                <w:sz w:val="18"/>
                <w:szCs w:val="18"/>
                <w:lang w:val="en-US" w:eastAsia="zh-CN"/>
              </w:rPr>
              <w:t>巨化环科</w:t>
            </w:r>
            <w:r>
              <w:rPr>
                <w:rFonts w:ascii="Times New Roman" w:hAnsi="Times New Roman" w:eastAsia="宋体" w:cs="宋体"/>
                <w:color w:val="auto"/>
                <w:sz w:val="18"/>
                <w:szCs w:val="18"/>
              </w:rPr>
              <w:t>污水厂</w:t>
            </w:r>
            <w:r>
              <w:rPr>
                <w:rFonts w:ascii="Times New Roman" w:hAnsi="Times New Roman" w:eastAsia="宋体"/>
                <w:color w:val="auto"/>
                <w:sz w:val="18"/>
                <w:szCs w:val="18"/>
              </w:rPr>
              <w:t>处理</w:t>
            </w:r>
          </w:p>
        </w:tc>
        <w:tc>
          <w:tcPr>
            <w:tcW w:w="2874" w:type="dxa"/>
            <w:vAlign w:val="center"/>
          </w:tcPr>
          <w:p>
            <w:pPr>
              <w:keepNext w:val="0"/>
              <w:keepLines w:val="0"/>
              <w:pageBreakBefore w:val="0"/>
              <w:widowControl w:val="0"/>
              <w:kinsoku/>
              <w:wordWrap/>
              <w:overflowPunct/>
              <w:topLinePunct w:val="0"/>
              <w:autoSpaceDE w:val="0"/>
              <w:autoSpaceDN w:val="0"/>
              <w:bidi w:val="0"/>
              <w:snapToGrid w:val="0"/>
              <w:jc w:val="center"/>
              <w:textAlignment w:val="auto"/>
              <w:rPr>
                <w:rFonts w:hint="eastAsia" w:ascii="Times New Roman" w:hAnsi="Times New Roman" w:eastAsia="宋体"/>
                <w:color w:val="auto"/>
                <w:sz w:val="18"/>
                <w:szCs w:val="18"/>
              </w:rPr>
            </w:pPr>
            <w:r>
              <w:rPr>
                <w:rFonts w:hint="eastAsia" w:ascii="Times New Roman" w:hAnsi="Times New Roman" w:eastAsia="宋体" w:cs="宋体"/>
                <w:color w:val="auto"/>
                <w:sz w:val="18"/>
                <w:szCs w:val="18"/>
                <w:lang w:val="en-US" w:eastAsia="zh-CN"/>
              </w:rPr>
              <w:t>巨化环科</w:t>
            </w:r>
            <w:r>
              <w:rPr>
                <w:rFonts w:ascii="Times New Roman" w:hAnsi="Times New Roman" w:eastAsia="宋体" w:cs="宋体"/>
                <w:color w:val="auto"/>
                <w:sz w:val="18"/>
                <w:szCs w:val="18"/>
              </w:rPr>
              <w:t>污水厂排放符合《城镇污水处理厂污染物排放标准》（GB18918-2002）一级</w:t>
            </w:r>
            <w:r>
              <w:rPr>
                <w:rFonts w:hint="eastAsia" w:ascii="Times New Roman" w:hAnsi="Times New Roman" w:eastAsia="宋体" w:cs="宋体"/>
                <w:color w:val="auto"/>
                <w:sz w:val="18"/>
                <w:szCs w:val="18"/>
                <w:lang w:val="en-US" w:eastAsia="zh-CN"/>
              </w:rPr>
              <w:t>A</w:t>
            </w:r>
            <w:r>
              <w:rPr>
                <w:rFonts w:ascii="Times New Roman" w:hAnsi="Times New Roman" w:eastAsia="宋体" w:cs="宋体"/>
                <w:color w:val="auto"/>
                <w:sz w:val="18"/>
                <w:szCs w:val="18"/>
              </w:rPr>
              <w:t>标准</w:t>
            </w:r>
            <w:r>
              <w:rPr>
                <w:rFonts w:hint="eastAsia" w:ascii="Times New Roman" w:hAnsi="Times New Roman" w:eastAsia="宋体" w:cs="宋体"/>
                <w:color w:val="auto"/>
                <w:sz w:val="18"/>
                <w:szCs w:val="18"/>
              </w:rPr>
              <w:t>及《污水综合排放标准》（GB8978-1996）一级标准相关限值要求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9" w:type="dxa"/>
            <w:vMerge w:val="continue"/>
            <w:vAlign w:val="center"/>
          </w:tcPr>
          <w:p>
            <w:pPr>
              <w:keepNext w:val="0"/>
              <w:keepLines w:val="0"/>
              <w:pageBreakBefore w:val="0"/>
              <w:widowControl w:val="0"/>
              <w:kinsoku/>
              <w:wordWrap/>
              <w:overflowPunct/>
              <w:topLinePunct w:val="0"/>
              <w:bidi w:val="0"/>
              <w:textAlignment w:val="auto"/>
              <w:rPr>
                <w:rFonts w:ascii="Times New Roman" w:hAnsi="Times New Roman" w:eastAsia="宋体"/>
                <w:color w:val="auto"/>
                <w:sz w:val="18"/>
                <w:szCs w:val="18"/>
              </w:rPr>
            </w:pPr>
          </w:p>
        </w:tc>
        <w:tc>
          <w:tcPr>
            <w:tcW w:w="1447" w:type="dxa"/>
            <w:vAlign w:val="center"/>
          </w:tcPr>
          <w:p>
            <w:pPr>
              <w:keepNext w:val="0"/>
              <w:keepLines w:val="0"/>
              <w:pageBreakBefore w:val="0"/>
              <w:widowControl w:val="0"/>
              <w:kinsoku/>
              <w:wordWrap/>
              <w:overflowPunct/>
              <w:topLinePunct w:val="0"/>
              <w:autoSpaceDE w:val="0"/>
              <w:autoSpaceDN w:val="0"/>
              <w:bidi w:val="0"/>
              <w:snapToGrid w:val="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地下水</w:t>
            </w:r>
          </w:p>
        </w:tc>
        <w:tc>
          <w:tcPr>
            <w:tcW w:w="3552" w:type="dxa"/>
            <w:vAlign w:val="center"/>
          </w:tcPr>
          <w:p>
            <w:pPr>
              <w:keepNext w:val="0"/>
              <w:keepLines w:val="0"/>
              <w:pageBreakBefore w:val="0"/>
              <w:widowControl w:val="0"/>
              <w:kinsoku/>
              <w:wordWrap/>
              <w:overflowPunct/>
              <w:topLinePunct w:val="0"/>
              <w:bidi w:val="0"/>
              <w:snapToGrid w:val="0"/>
              <w:textAlignment w:val="auto"/>
              <w:rPr>
                <w:rFonts w:ascii="Times New Roman" w:hAnsi="Times New Roman" w:eastAsia="宋体"/>
                <w:color w:val="auto"/>
                <w:sz w:val="18"/>
                <w:szCs w:val="18"/>
              </w:rPr>
            </w:pPr>
            <w:r>
              <w:rPr>
                <w:rFonts w:ascii="Times New Roman" w:hAnsi="Times New Roman" w:eastAsia="宋体"/>
                <w:color w:val="auto"/>
                <w:sz w:val="18"/>
                <w:szCs w:val="18"/>
              </w:rPr>
              <w:t>厂区污水处理及废物暂存等场所应采取防渗防漏防雨措施，避免渗滤液污染周围水体或地下水</w:t>
            </w:r>
          </w:p>
        </w:tc>
        <w:tc>
          <w:tcPr>
            <w:tcW w:w="2874" w:type="dxa"/>
            <w:vAlign w:val="center"/>
          </w:tcPr>
          <w:p>
            <w:pPr>
              <w:keepNext w:val="0"/>
              <w:keepLines w:val="0"/>
              <w:pageBreakBefore w:val="0"/>
              <w:widowControl w:val="0"/>
              <w:kinsoku/>
              <w:wordWrap/>
              <w:overflowPunct/>
              <w:topLinePunct w:val="0"/>
              <w:autoSpaceDE w:val="0"/>
              <w:autoSpaceDN w:val="0"/>
              <w:bidi w:val="0"/>
              <w:snapToGrid w:val="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不对地下水造成污染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649" w:type="dxa"/>
            <w:vMerge w:val="continue"/>
            <w:vAlign w:val="center"/>
          </w:tcPr>
          <w:p>
            <w:pPr>
              <w:keepNext w:val="0"/>
              <w:keepLines w:val="0"/>
              <w:pageBreakBefore w:val="0"/>
              <w:widowControl w:val="0"/>
              <w:kinsoku/>
              <w:wordWrap/>
              <w:overflowPunct/>
              <w:topLinePunct w:val="0"/>
              <w:bidi w:val="0"/>
              <w:textAlignment w:val="auto"/>
              <w:rPr>
                <w:rFonts w:ascii="Times New Roman" w:hAnsi="Times New Roman" w:eastAsia="宋体"/>
                <w:color w:val="auto"/>
                <w:sz w:val="18"/>
                <w:szCs w:val="18"/>
              </w:rPr>
            </w:pPr>
          </w:p>
        </w:tc>
        <w:tc>
          <w:tcPr>
            <w:tcW w:w="1447" w:type="dxa"/>
            <w:vAlign w:val="center"/>
          </w:tcPr>
          <w:p>
            <w:pPr>
              <w:keepNext w:val="0"/>
              <w:keepLines w:val="0"/>
              <w:pageBreakBefore w:val="0"/>
              <w:widowControl w:val="0"/>
              <w:kinsoku/>
              <w:wordWrap/>
              <w:overflowPunct/>
              <w:topLinePunct w:val="0"/>
              <w:bidi w:val="0"/>
              <w:snapToGrid w:val="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事故废水</w:t>
            </w:r>
          </w:p>
        </w:tc>
        <w:tc>
          <w:tcPr>
            <w:tcW w:w="3552" w:type="dxa"/>
            <w:vAlign w:val="center"/>
          </w:tcPr>
          <w:p>
            <w:pPr>
              <w:keepNext w:val="0"/>
              <w:keepLines w:val="0"/>
              <w:pageBreakBefore w:val="0"/>
              <w:widowControl w:val="0"/>
              <w:kinsoku/>
              <w:wordWrap/>
              <w:overflowPunct/>
              <w:topLinePunct w:val="0"/>
              <w:bidi w:val="0"/>
              <w:snapToGrid w:val="0"/>
              <w:textAlignment w:val="auto"/>
              <w:rPr>
                <w:rFonts w:ascii="Times New Roman" w:hAnsi="Times New Roman" w:eastAsia="宋体"/>
                <w:color w:val="auto"/>
                <w:sz w:val="18"/>
                <w:szCs w:val="18"/>
              </w:rPr>
            </w:pPr>
            <w:r>
              <w:rPr>
                <w:rFonts w:ascii="Times New Roman" w:hAnsi="Times New Roman" w:eastAsia="宋体"/>
                <w:color w:val="auto"/>
                <w:sz w:val="18"/>
                <w:szCs w:val="18"/>
              </w:rPr>
              <w:t>事故应急处理，企业建有事故应急池，可满足项目实施后事故所需</w:t>
            </w:r>
          </w:p>
        </w:tc>
        <w:tc>
          <w:tcPr>
            <w:tcW w:w="2874" w:type="dxa"/>
            <w:vAlign w:val="center"/>
          </w:tcPr>
          <w:p>
            <w:pPr>
              <w:keepNext w:val="0"/>
              <w:keepLines w:val="0"/>
              <w:pageBreakBefore w:val="0"/>
              <w:widowControl w:val="0"/>
              <w:kinsoku/>
              <w:wordWrap/>
              <w:overflowPunct/>
              <w:topLinePunct w:val="0"/>
              <w:autoSpaceDE w:val="0"/>
              <w:autoSpaceDN w:val="0"/>
              <w:bidi w:val="0"/>
              <w:snapToGrid w:val="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不对周围环境造成污染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9" w:type="dxa"/>
            <w:vAlign w:val="center"/>
          </w:tcPr>
          <w:p>
            <w:pPr>
              <w:keepNext w:val="0"/>
              <w:keepLines w:val="0"/>
              <w:pageBreakBefore w:val="0"/>
              <w:widowControl w:val="0"/>
              <w:kinsoku/>
              <w:wordWrap/>
              <w:overflowPunct/>
              <w:topLinePunct w:val="0"/>
              <w:autoSpaceDE w:val="0"/>
              <w:autoSpaceDN w:val="0"/>
              <w:bidi w:val="0"/>
              <w:snapToGrid w:val="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噪声</w:t>
            </w:r>
          </w:p>
        </w:tc>
        <w:tc>
          <w:tcPr>
            <w:tcW w:w="1447" w:type="dxa"/>
            <w:vAlign w:val="center"/>
          </w:tcPr>
          <w:p>
            <w:pPr>
              <w:keepNext w:val="0"/>
              <w:keepLines w:val="0"/>
              <w:pageBreakBefore w:val="0"/>
              <w:widowControl w:val="0"/>
              <w:kinsoku/>
              <w:wordWrap/>
              <w:overflowPunct/>
              <w:topLinePunct w:val="0"/>
              <w:autoSpaceDE w:val="0"/>
              <w:autoSpaceDN w:val="0"/>
              <w:bidi w:val="0"/>
              <w:snapToGrid w:val="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生产车间</w:t>
            </w:r>
          </w:p>
        </w:tc>
        <w:tc>
          <w:tcPr>
            <w:tcW w:w="3552" w:type="dxa"/>
            <w:vAlign w:val="center"/>
          </w:tcPr>
          <w:p>
            <w:pPr>
              <w:keepNext w:val="0"/>
              <w:keepLines w:val="0"/>
              <w:pageBreakBefore w:val="0"/>
              <w:widowControl w:val="0"/>
              <w:kinsoku/>
              <w:wordWrap/>
              <w:overflowPunct/>
              <w:topLinePunct w:val="0"/>
              <w:autoSpaceDE w:val="0"/>
              <w:autoSpaceDN w:val="0"/>
              <w:bidi w:val="0"/>
              <w:snapToGrid w:val="0"/>
              <w:textAlignment w:val="auto"/>
              <w:rPr>
                <w:rFonts w:ascii="Times New Roman" w:hAnsi="Times New Roman" w:eastAsia="宋体"/>
                <w:color w:val="auto"/>
                <w:sz w:val="18"/>
                <w:szCs w:val="18"/>
              </w:rPr>
            </w:pPr>
            <w:r>
              <w:rPr>
                <w:rFonts w:ascii="Times New Roman" w:hAnsi="Times New Roman" w:eastAsia="宋体"/>
                <w:color w:val="auto"/>
                <w:sz w:val="18"/>
                <w:szCs w:val="18"/>
              </w:rPr>
              <w:t>在设备选型上选择低噪声设备，其次设备布局是将高噪声设备尽量远离厂界，高噪声设备设置隔声罩和减震垫，搞好厂区绿化，加强厂内噪声源管理</w:t>
            </w:r>
          </w:p>
        </w:tc>
        <w:tc>
          <w:tcPr>
            <w:tcW w:w="2874" w:type="dxa"/>
            <w:vAlign w:val="center"/>
          </w:tcPr>
          <w:p>
            <w:pPr>
              <w:keepNext w:val="0"/>
              <w:keepLines w:val="0"/>
              <w:pageBreakBefore w:val="0"/>
              <w:widowControl w:val="0"/>
              <w:kinsoku/>
              <w:wordWrap/>
              <w:overflowPunct/>
              <w:topLinePunct w:val="0"/>
              <w:autoSpaceDE w:val="0"/>
              <w:autoSpaceDN w:val="0"/>
              <w:bidi w:val="0"/>
              <w:snapToGrid w:val="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满足《工业企业厂界环境噪声排放标准》(GB12348-2008)中3类标准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9" w:type="dxa"/>
            <w:vAlign w:val="center"/>
          </w:tcPr>
          <w:p>
            <w:pPr>
              <w:keepNext w:val="0"/>
              <w:keepLines w:val="0"/>
              <w:pageBreakBefore w:val="0"/>
              <w:widowControl w:val="0"/>
              <w:kinsoku/>
              <w:wordWrap/>
              <w:overflowPunct/>
              <w:topLinePunct w:val="0"/>
              <w:autoSpaceDE w:val="0"/>
              <w:autoSpaceDN w:val="0"/>
              <w:bidi w:val="0"/>
              <w:snapToGrid w:val="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固废</w:t>
            </w:r>
          </w:p>
        </w:tc>
        <w:tc>
          <w:tcPr>
            <w:tcW w:w="1447" w:type="dxa"/>
            <w:vAlign w:val="center"/>
          </w:tcPr>
          <w:p>
            <w:pPr>
              <w:widowControl/>
              <w:jc w:val="center"/>
              <w:textAlignment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硅渣</w:t>
            </w:r>
          </w:p>
        </w:tc>
        <w:tc>
          <w:tcPr>
            <w:tcW w:w="3552" w:type="dxa"/>
            <w:vAlign w:val="center"/>
          </w:tcPr>
          <w:p>
            <w:pPr>
              <w:keepNext w:val="0"/>
              <w:keepLines w:val="0"/>
              <w:pageBreakBefore w:val="0"/>
              <w:widowControl w:val="0"/>
              <w:kinsoku/>
              <w:wordWrap/>
              <w:overflowPunct/>
              <w:topLinePunct w:val="0"/>
              <w:bidi w:val="0"/>
              <w:snapToGrid w:val="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按照国家相关规定进行安全暂存，定期委托有资质单位进行处理</w:t>
            </w:r>
          </w:p>
        </w:tc>
        <w:tc>
          <w:tcPr>
            <w:tcW w:w="2874" w:type="dxa"/>
            <w:vAlign w:val="center"/>
          </w:tcPr>
          <w:p>
            <w:pPr>
              <w:keepNext w:val="0"/>
              <w:keepLines w:val="0"/>
              <w:pageBreakBefore w:val="0"/>
              <w:widowControl w:val="0"/>
              <w:kinsoku/>
              <w:wordWrap/>
              <w:overflowPunct/>
              <w:topLinePunct w:val="0"/>
              <w:autoSpaceDE w:val="0"/>
              <w:autoSpaceDN w:val="0"/>
              <w:bidi w:val="0"/>
              <w:snapToGrid w:val="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不排入环境，不对环境造成影响</w:t>
            </w:r>
          </w:p>
        </w:tc>
      </w:tr>
    </w:tbl>
    <w:p>
      <w:pPr>
        <w:keepNext w:val="0"/>
        <w:keepLines w:val="0"/>
        <w:pageBreakBefore w:val="0"/>
        <w:widowControl/>
        <w:kinsoku/>
        <w:wordWrap/>
        <w:overflowPunct/>
        <w:topLinePunct w:val="0"/>
        <w:bidi w:val="0"/>
        <w:spacing w:line="240" w:lineRule="auto"/>
        <w:jc w:val="left"/>
        <w:rPr>
          <w:rFonts w:hint="eastAsia" w:ascii="宋体" w:hAnsi="宋体" w:eastAsia="宋体" w:cs="宋体"/>
          <w:b/>
          <w:color w:val="auto"/>
          <w:kern w:val="0"/>
          <w:sz w:val="28"/>
          <w:szCs w:val="28"/>
          <w:lang w:val="en-US" w:eastAsia="zh-CN"/>
        </w:rPr>
      </w:pPr>
      <w:r>
        <w:rPr>
          <w:rFonts w:hint="eastAsia" w:ascii="宋体" w:hAnsi="宋体" w:eastAsia="宋体" w:cs="宋体"/>
          <w:b/>
          <w:color w:val="auto"/>
          <w:kern w:val="0"/>
          <w:sz w:val="28"/>
          <w:szCs w:val="28"/>
          <w:lang w:val="en-US" w:eastAsia="zh-CN"/>
        </w:rPr>
        <w:t>五、环境影响评价结论的要点</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浙江中天东方氟硅材料股份有限公司10kt/a固废综合利用（提铜）项目利用企业现有厂区建设。</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项目建设符合环境功能区划，符合浙江省建设项目环保审批原则，大气环境、水环境、声环境以及土壤环境可以满足当地的环境质量标准要求；排放的污染物符合国家、省、市规定的污染物排放标准和主要污染物排放总量控制指标；预测的结果来看本项目造成的环境影响符合建设项目所在地环境功能区划确定的环境质量要求。相关环境措施符合环保要求，污染物能得到有效治理；环境影响经济损益分析总体可行；项目符合资源利用上线、生态保护红线范围及负面清单、环境质量底线，满足环环评[2016]150号中“三线一单”的要求。</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因此，从环境保护角度分析，本项目在拟建厂区内实施是可行的。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建设单位应切实落实各项污染治理措施，严格执行“三同时”制度，加强环保管理，确保污染物稳定达标排放，将项目对周边环境的影响降至最低。</w:t>
      </w:r>
    </w:p>
    <w:p>
      <w:pPr>
        <w:keepNext w:val="0"/>
        <w:keepLines w:val="0"/>
        <w:pageBreakBefore w:val="0"/>
        <w:widowControl/>
        <w:kinsoku/>
        <w:wordWrap/>
        <w:overflowPunct/>
        <w:topLinePunct w:val="0"/>
        <w:bidi w:val="0"/>
        <w:spacing w:line="240" w:lineRule="auto"/>
        <w:jc w:val="left"/>
        <w:rPr>
          <w:rFonts w:hint="eastAsia" w:ascii="宋体" w:hAnsi="宋体" w:eastAsia="宋体" w:cs="宋体"/>
          <w:b/>
          <w:color w:val="auto"/>
          <w:kern w:val="0"/>
          <w:sz w:val="28"/>
          <w:szCs w:val="28"/>
          <w:lang w:val="en-US" w:eastAsia="zh-CN"/>
        </w:rPr>
      </w:pPr>
      <w:r>
        <w:rPr>
          <w:rFonts w:hint="eastAsia" w:ascii="宋体" w:hAnsi="宋体" w:eastAsia="宋体" w:cs="宋体"/>
          <w:b/>
          <w:color w:val="auto"/>
          <w:kern w:val="0"/>
          <w:sz w:val="28"/>
          <w:szCs w:val="28"/>
          <w:lang w:val="en-US" w:eastAsia="zh-CN"/>
        </w:rPr>
        <w:t>六、征求意见范围、对象和期限</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主要为评价范围边长5km的矩形区域区域内的公众。公众对建设项目有环境保护意见的，可向建设单位或环评单位提出，并留下姓名、联系方式、联系地址。</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公众提出意见的起止时间：202</w:t>
      </w:r>
      <w:r>
        <w:rPr>
          <w:rFonts w:hint="eastAsia" w:ascii="Times New Roman" w:hAnsi="Times New Roman" w:cs="宋体"/>
          <w:color w:val="auto"/>
          <w:kern w:val="2"/>
          <w:sz w:val="24"/>
          <w:szCs w:val="24"/>
          <w:lang w:val="en-US" w:eastAsia="zh-CN" w:bidi="ar-SA"/>
        </w:rPr>
        <w:t>3</w:t>
      </w:r>
      <w:r>
        <w:rPr>
          <w:rFonts w:hint="eastAsia" w:ascii="Times New Roman" w:hAnsi="Times New Roman" w:eastAsia="宋体" w:cs="宋体"/>
          <w:color w:val="auto"/>
          <w:kern w:val="2"/>
          <w:sz w:val="24"/>
          <w:szCs w:val="24"/>
          <w:lang w:val="en-US" w:eastAsia="zh-CN" w:bidi="ar-SA"/>
        </w:rPr>
        <w:t>年</w:t>
      </w:r>
      <w:r>
        <w:rPr>
          <w:rFonts w:hint="eastAsia" w:ascii="Times New Roman" w:hAnsi="Times New Roman" w:cs="宋体"/>
          <w:color w:val="auto"/>
          <w:kern w:val="2"/>
          <w:sz w:val="24"/>
          <w:szCs w:val="24"/>
          <w:lang w:val="en-US" w:eastAsia="zh-CN" w:bidi="ar-SA"/>
        </w:rPr>
        <w:t>4</w:t>
      </w:r>
      <w:r>
        <w:rPr>
          <w:rFonts w:hint="eastAsia" w:ascii="Times New Roman" w:hAnsi="Times New Roman" w:eastAsia="宋体" w:cs="宋体"/>
          <w:color w:val="auto"/>
          <w:kern w:val="2"/>
          <w:sz w:val="24"/>
          <w:szCs w:val="24"/>
          <w:lang w:val="en-US" w:eastAsia="zh-CN" w:bidi="ar-SA"/>
        </w:rPr>
        <w:t>月</w:t>
      </w:r>
      <w:r>
        <w:rPr>
          <w:rFonts w:hint="eastAsia" w:ascii="Times New Roman" w:hAnsi="Times New Roman" w:cs="宋体"/>
          <w:color w:val="auto"/>
          <w:kern w:val="2"/>
          <w:sz w:val="24"/>
          <w:szCs w:val="24"/>
          <w:lang w:val="en-US" w:eastAsia="zh-CN" w:bidi="ar-SA"/>
        </w:rPr>
        <w:t>3</w:t>
      </w:r>
      <w:r>
        <w:rPr>
          <w:rFonts w:hint="eastAsia" w:ascii="Times New Roman" w:hAnsi="Times New Roman" w:eastAsia="宋体" w:cs="宋体"/>
          <w:color w:val="auto"/>
          <w:kern w:val="2"/>
          <w:sz w:val="24"/>
          <w:szCs w:val="24"/>
          <w:lang w:val="en-US" w:eastAsia="zh-CN" w:bidi="ar-SA"/>
        </w:rPr>
        <w:t>日～202</w:t>
      </w:r>
      <w:r>
        <w:rPr>
          <w:rFonts w:hint="eastAsia" w:ascii="Times New Roman" w:hAnsi="Times New Roman" w:cs="宋体"/>
          <w:color w:val="auto"/>
          <w:kern w:val="2"/>
          <w:sz w:val="24"/>
          <w:szCs w:val="24"/>
          <w:lang w:val="en-US" w:eastAsia="zh-CN" w:bidi="ar-SA"/>
        </w:rPr>
        <w:t>3</w:t>
      </w:r>
      <w:r>
        <w:rPr>
          <w:rFonts w:hint="eastAsia" w:ascii="Times New Roman" w:hAnsi="Times New Roman" w:eastAsia="宋体" w:cs="宋体"/>
          <w:color w:val="auto"/>
          <w:kern w:val="2"/>
          <w:sz w:val="24"/>
          <w:szCs w:val="24"/>
          <w:lang w:val="en-US" w:eastAsia="zh-CN" w:bidi="ar-SA"/>
        </w:rPr>
        <w:t>年</w:t>
      </w:r>
      <w:r>
        <w:rPr>
          <w:rFonts w:hint="eastAsia" w:ascii="Times New Roman" w:hAnsi="Times New Roman" w:cs="宋体"/>
          <w:color w:val="auto"/>
          <w:kern w:val="2"/>
          <w:sz w:val="24"/>
          <w:szCs w:val="24"/>
          <w:lang w:val="en-US" w:eastAsia="zh-CN" w:bidi="ar-SA"/>
        </w:rPr>
        <w:t>4</w:t>
      </w:r>
      <w:r>
        <w:rPr>
          <w:rFonts w:hint="eastAsia" w:ascii="Times New Roman" w:hAnsi="Times New Roman" w:eastAsia="宋体" w:cs="宋体"/>
          <w:color w:val="auto"/>
          <w:kern w:val="2"/>
          <w:sz w:val="24"/>
          <w:szCs w:val="24"/>
          <w:lang w:val="en-US" w:eastAsia="zh-CN" w:bidi="ar-SA"/>
        </w:rPr>
        <w:t>月1</w:t>
      </w:r>
      <w:r>
        <w:rPr>
          <w:rFonts w:hint="eastAsia" w:ascii="Times New Roman" w:hAnsi="Times New Roman" w:cs="宋体"/>
          <w:color w:val="auto"/>
          <w:kern w:val="2"/>
          <w:sz w:val="24"/>
          <w:szCs w:val="24"/>
          <w:lang w:val="en-US" w:eastAsia="zh-CN" w:bidi="ar-SA"/>
        </w:rPr>
        <w:t>7</w:t>
      </w:r>
      <w:r>
        <w:rPr>
          <w:rFonts w:hint="eastAsia" w:ascii="Times New Roman" w:hAnsi="Times New Roman" w:eastAsia="宋体" w:cs="宋体"/>
          <w:color w:val="auto"/>
          <w:kern w:val="2"/>
          <w:sz w:val="24"/>
          <w:szCs w:val="24"/>
          <w:lang w:val="en-US" w:eastAsia="zh-CN" w:bidi="ar-SA"/>
        </w:rPr>
        <w:t>日。</w:t>
      </w:r>
    </w:p>
    <w:p>
      <w:pPr>
        <w:keepNext w:val="0"/>
        <w:keepLines w:val="0"/>
        <w:pageBreakBefore w:val="0"/>
        <w:widowControl/>
        <w:kinsoku/>
        <w:wordWrap/>
        <w:overflowPunct/>
        <w:topLinePunct w:val="0"/>
        <w:bidi w:val="0"/>
        <w:spacing w:line="240" w:lineRule="auto"/>
        <w:jc w:val="left"/>
        <w:rPr>
          <w:rFonts w:hint="eastAsia" w:ascii="宋体" w:hAnsi="宋体" w:eastAsia="宋体" w:cs="宋体"/>
          <w:b/>
          <w:color w:val="auto"/>
          <w:kern w:val="0"/>
          <w:sz w:val="28"/>
          <w:szCs w:val="28"/>
          <w:lang w:val="en-US" w:eastAsia="zh-CN"/>
        </w:rPr>
      </w:pPr>
      <w:r>
        <w:rPr>
          <w:rFonts w:hint="eastAsia" w:ascii="宋体" w:hAnsi="宋体" w:eastAsia="宋体" w:cs="宋体"/>
          <w:b/>
          <w:color w:val="auto"/>
          <w:kern w:val="0"/>
          <w:sz w:val="28"/>
          <w:szCs w:val="28"/>
          <w:lang w:val="en-US" w:eastAsia="zh-CN"/>
        </w:rPr>
        <w:t>七、公众意见反馈途径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公众可通过电话、信函等形式将意见反馈，也可直接拜访建设单位或环评单位的联系人，当面反馈意见。本环评在报送生态环境局报批前，项目环境影响报告书将在企业网站进行公开。</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1.建设单位情况</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default"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建设单位：浙江中天东方氟硅材料股份有限公司     电话：18605705819</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联系地址：</w:t>
      </w:r>
      <w:r>
        <w:rPr>
          <w:rFonts w:hint="default" w:ascii="Times New Roman" w:hAnsi="Times New Roman" w:eastAsia="宋体" w:cs="宋体"/>
          <w:color w:val="auto"/>
          <w:kern w:val="2"/>
          <w:sz w:val="24"/>
          <w:szCs w:val="24"/>
          <w:lang w:val="en-US" w:eastAsia="zh-CN" w:bidi="ar-SA"/>
        </w:rPr>
        <w:t>浙江省衢州市绿色产业集聚区华荫北路20号</w:t>
      </w:r>
      <w:r>
        <w:rPr>
          <w:rFonts w:hint="eastAsia" w:ascii="Times New Roman" w:hAnsi="Times New Roman" w:eastAsia="宋体" w:cs="宋体"/>
          <w:color w:val="auto"/>
          <w:kern w:val="2"/>
          <w:sz w:val="24"/>
          <w:szCs w:val="24"/>
          <w:lang w:val="en-US" w:eastAsia="zh-CN" w:bidi="ar-SA"/>
        </w:rPr>
        <w:t xml:space="preserve">     邮编：324000</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2.环评单位情况</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环评单位：浙江联强环境工程技术有限公司       电话：13587003269</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地点：浙江省衢州市柯城区白云中大道新湖城市广场6幢907室    邮编：324003</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3.环保部门情况</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环评审批单位：衢州市生态环境局智造新城分局电话：0570-8536050</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right"/>
        <w:textAlignment w:val="auto"/>
        <w:rPr>
          <w:rFonts w:hint="default" w:ascii="Times New Roman" w:hAnsi="Times New Roman" w:eastAsia="宋体" w:cs="宋体"/>
          <w:color w:val="auto"/>
          <w:kern w:val="2"/>
          <w:sz w:val="24"/>
          <w:szCs w:val="24"/>
          <w:lang w:val="en-US" w:eastAsia="zh-CN" w:bidi="ar-SA"/>
        </w:rPr>
      </w:pPr>
    </w:p>
    <w:p>
      <w:pPr>
        <w:pStyle w:val="5"/>
        <w:rPr>
          <w:rFonts w:hint="default" w:ascii="Times New Roman" w:hAnsi="Times New Roman" w:eastAsia="宋体" w:cs="宋体"/>
          <w:color w:val="auto"/>
          <w:kern w:val="2"/>
          <w:sz w:val="24"/>
          <w:szCs w:val="24"/>
          <w:lang w:val="en-US" w:eastAsia="zh-CN" w:bidi="ar-SA"/>
        </w:rPr>
      </w:pPr>
    </w:p>
    <w:p>
      <w:pPr>
        <w:pStyle w:val="6"/>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right"/>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 xml:space="preserve">公告发布单位：浙江中天东方氟硅材料股份有限公司   </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right"/>
        <w:textAlignment w:val="auto"/>
        <w:rPr>
          <w:rFonts w:hint="eastAsia" w:ascii="Times New Roman" w:hAnsi="Times New Roman" w:eastAsia="宋体" w:cs="宋体"/>
          <w:color w:val="auto"/>
          <w:kern w:val="2"/>
          <w:sz w:val="24"/>
          <w:szCs w:val="24"/>
          <w:lang w:val="en-US" w:eastAsia="zh-CN" w:bidi="ar-SA"/>
        </w:rPr>
      </w:pPr>
      <w:r>
        <w:rPr>
          <w:rFonts w:hint="eastAsia" w:ascii="Times New Roman" w:hAnsi="Times New Roman" w:eastAsia="宋体" w:cs="宋体"/>
          <w:color w:val="auto"/>
          <w:kern w:val="2"/>
          <w:sz w:val="24"/>
          <w:szCs w:val="24"/>
          <w:lang w:val="en-US" w:eastAsia="zh-CN" w:bidi="ar-SA"/>
        </w:rPr>
        <w:t>公告发布时间：202</w:t>
      </w:r>
      <w:r>
        <w:rPr>
          <w:rFonts w:hint="eastAsia" w:ascii="Times New Roman" w:hAnsi="Times New Roman" w:cs="宋体"/>
          <w:color w:val="auto"/>
          <w:kern w:val="2"/>
          <w:sz w:val="24"/>
          <w:szCs w:val="24"/>
          <w:lang w:val="en-US" w:eastAsia="zh-CN" w:bidi="ar-SA"/>
        </w:rPr>
        <w:t>3</w:t>
      </w:r>
      <w:r>
        <w:rPr>
          <w:rFonts w:hint="eastAsia" w:ascii="Times New Roman" w:hAnsi="Times New Roman" w:eastAsia="宋体" w:cs="宋体"/>
          <w:color w:val="auto"/>
          <w:kern w:val="2"/>
          <w:sz w:val="24"/>
          <w:szCs w:val="24"/>
          <w:lang w:val="en-US" w:eastAsia="zh-CN" w:bidi="ar-SA"/>
        </w:rPr>
        <w:t>年</w:t>
      </w:r>
      <w:r>
        <w:rPr>
          <w:rFonts w:hint="eastAsia" w:ascii="Times New Roman" w:hAnsi="Times New Roman" w:cs="宋体"/>
          <w:color w:val="auto"/>
          <w:kern w:val="2"/>
          <w:sz w:val="24"/>
          <w:szCs w:val="24"/>
          <w:lang w:val="en-US" w:eastAsia="zh-CN" w:bidi="ar-SA"/>
        </w:rPr>
        <w:t>4</w:t>
      </w:r>
      <w:r>
        <w:rPr>
          <w:rFonts w:hint="eastAsia" w:ascii="Times New Roman" w:hAnsi="Times New Roman" w:eastAsia="宋体" w:cs="宋体"/>
          <w:color w:val="auto"/>
          <w:kern w:val="2"/>
          <w:sz w:val="24"/>
          <w:szCs w:val="24"/>
          <w:lang w:val="en-US" w:eastAsia="zh-CN" w:bidi="ar-SA"/>
        </w:rPr>
        <w:t>月</w:t>
      </w:r>
      <w:r>
        <w:rPr>
          <w:rFonts w:hint="eastAsia" w:ascii="Times New Roman" w:hAnsi="Times New Roman" w:cs="宋体"/>
          <w:color w:val="auto"/>
          <w:kern w:val="2"/>
          <w:sz w:val="24"/>
          <w:szCs w:val="24"/>
          <w:lang w:val="en-US" w:eastAsia="zh-CN" w:bidi="ar-SA"/>
        </w:rPr>
        <w:t>3</w:t>
      </w:r>
      <w:r>
        <w:rPr>
          <w:rFonts w:hint="eastAsia" w:ascii="Times New Roman" w:hAnsi="Times New Roman" w:eastAsia="宋体" w:cs="宋体"/>
          <w:color w:val="auto"/>
          <w:kern w:val="2"/>
          <w:sz w:val="24"/>
          <w:szCs w:val="24"/>
          <w:lang w:val="en-US" w:eastAsia="zh-CN" w:bidi="ar-SA"/>
        </w:rPr>
        <w:t>日</w:t>
      </w:r>
    </w:p>
    <w:p>
      <w:pPr>
        <w:rPr>
          <w:rFonts w:hint="eastAsia"/>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B53D02"/>
    <w:multiLevelType w:val="singleLevel"/>
    <w:tmpl w:val="B8B53D02"/>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hN2ZiN2I1ZjdjMWM2NjAxMzIzMWI3NjBjNTQ5OGEifQ=="/>
  </w:docVars>
  <w:rsids>
    <w:rsidRoot w:val="00000000"/>
    <w:rsid w:val="053F53D2"/>
    <w:rsid w:val="08876BC1"/>
    <w:rsid w:val="1A393FD4"/>
    <w:rsid w:val="1C0C49D8"/>
    <w:rsid w:val="1F3E10B5"/>
    <w:rsid w:val="1FE8087C"/>
    <w:rsid w:val="21FA2F3C"/>
    <w:rsid w:val="254B3973"/>
    <w:rsid w:val="262E0415"/>
    <w:rsid w:val="284909C7"/>
    <w:rsid w:val="33CD6C8C"/>
    <w:rsid w:val="47AF5B6F"/>
    <w:rsid w:val="484503F6"/>
    <w:rsid w:val="48D224AB"/>
    <w:rsid w:val="55013A3C"/>
    <w:rsid w:val="55E45316"/>
    <w:rsid w:val="57C6397F"/>
    <w:rsid w:val="5CDD33AE"/>
    <w:rsid w:val="70324995"/>
    <w:rsid w:val="754451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nhideWhenUsed="0" w:uiPriority="0"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等线" w:hAnsi="等线" w:eastAsia="等线" w:cs="宋体"/>
      <w:kern w:val="2"/>
      <w:sz w:val="21"/>
      <w:szCs w:val="22"/>
      <w:lang w:val="en-US" w:eastAsia="zh-CN" w:bidi="ar-SA"/>
    </w:rPr>
  </w:style>
  <w:style w:type="paragraph" w:styleId="2">
    <w:name w:val="heading 8"/>
    <w:basedOn w:val="1"/>
    <w:next w:val="1"/>
    <w:autoRedefine/>
    <w:qFormat/>
    <w:uiPriority w:val="0"/>
    <w:pPr>
      <w:keepNext/>
      <w:keepLines/>
      <w:tabs>
        <w:tab w:val="left" w:pos="780"/>
      </w:tabs>
      <w:spacing w:before="240" w:after="64" w:line="320" w:lineRule="auto"/>
      <w:ind w:left="780" w:leftChars="200" w:hanging="360" w:hangingChars="200"/>
      <w:outlineLvl w:val="7"/>
    </w:pPr>
    <w:rPr>
      <w:rFonts w:ascii="Arial" w:hAnsi="Arial" w:eastAsia="黑体"/>
      <w:kern w:val="2"/>
      <w:szCs w:val="24"/>
    </w:rPr>
  </w:style>
  <w:style w:type="character" w:default="1" w:styleId="11">
    <w:name w:val="Default Paragraph Font"/>
    <w:qFormat/>
    <w:uiPriority w:val="1"/>
  </w:style>
  <w:style w:type="table" w:default="1" w:styleId="10">
    <w:name w:val="Normal Table"/>
    <w:autoRedefine/>
    <w:qFormat/>
    <w:uiPriority w:val="99"/>
    <w:tblPr>
      <w:tblCellMar>
        <w:top w:w="0" w:type="dxa"/>
        <w:left w:w="108" w:type="dxa"/>
        <w:bottom w:w="0" w:type="dxa"/>
        <w:right w:w="108" w:type="dxa"/>
      </w:tblCellMar>
    </w:tblPr>
  </w:style>
  <w:style w:type="paragraph" w:styleId="3">
    <w:name w:val="Normal Indent"/>
    <w:basedOn w:val="1"/>
    <w:qFormat/>
    <w:uiPriority w:val="0"/>
    <w:pPr>
      <w:ind w:firstLine="420"/>
    </w:pPr>
    <w:rPr>
      <w:kern w:val="2"/>
      <w:sz w:val="21"/>
    </w:rPr>
  </w:style>
  <w:style w:type="paragraph" w:styleId="4">
    <w:name w:val="Body Text"/>
    <w:basedOn w:val="1"/>
    <w:autoRedefine/>
    <w:qFormat/>
    <w:uiPriority w:val="1"/>
    <w:rPr>
      <w:rFonts w:ascii="宋体" w:hAnsi="宋体" w:eastAsia="宋体" w:cs="宋体"/>
      <w:sz w:val="24"/>
      <w:szCs w:val="24"/>
      <w:lang w:val="zh-CN" w:eastAsia="zh-CN" w:bidi="zh-CN"/>
    </w:rPr>
  </w:style>
  <w:style w:type="paragraph" w:styleId="5">
    <w:name w:val="Plain Text"/>
    <w:basedOn w:val="1"/>
    <w:next w:val="6"/>
    <w:autoRedefine/>
    <w:qFormat/>
    <w:uiPriority w:val="0"/>
    <w:pPr>
      <w:adjustRightInd w:val="0"/>
      <w:textAlignment w:val="baseline"/>
    </w:pPr>
    <w:rPr>
      <w:rFonts w:ascii="宋体" w:hAnsi="Courier New"/>
      <w:sz w:val="21"/>
    </w:rPr>
  </w:style>
  <w:style w:type="paragraph" w:styleId="6">
    <w:name w:val="toc 1"/>
    <w:basedOn w:val="1"/>
    <w:next w:val="1"/>
    <w:autoRedefine/>
    <w:qFormat/>
    <w:uiPriority w:val="39"/>
    <w:pPr>
      <w:spacing w:before="120" w:after="120"/>
      <w:jc w:val="left"/>
    </w:pPr>
    <w:rPr>
      <w:b/>
      <w:bCs/>
      <w:caps/>
      <w:sz w:val="20"/>
      <w:szCs w:val="20"/>
    </w:rPr>
  </w:style>
  <w:style w:type="paragraph" w:styleId="7">
    <w:name w:val="footer"/>
    <w:basedOn w:val="1"/>
    <w:link w:val="15"/>
    <w:autoRedefine/>
    <w:qFormat/>
    <w:uiPriority w:val="99"/>
    <w:pPr>
      <w:tabs>
        <w:tab w:val="center" w:pos="4153"/>
        <w:tab w:val="right" w:pos="8306"/>
      </w:tabs>
      <w:snapToGrid w:val="0"/>
      <w:jc w:val="left"/>
    </w:pPr>
    <w:rPr>
      <w:sz w:val="18"/>
      <w:szCs w:val="18"/>
    </w:rPr>
  </w:style>
  <w:style w:type="paragraph" w:styleId="8">
    <w:name w:val="header"/>
    <w:basedOn w:val="1"/>
    <w:link w:val="14"/>
    <w:autoRedefine/>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99"/>
    <w:pPr>
      <w:widowControl/>
      <w:spacing w:before="100" w:beforeAutospacing="1" w:after="100" w:afterAutospacing="1"/>
      <w:jc w:val="left"/>
    </w:pPr>
    <w:rPr>
      <w:rFonts w:ascii="宋体" w:hAnsi="宋体" w:eastAsia="宋体" w:cs="宋体"/>
      <w:kern w:val="0"/>
      <w:sz w:val="24"/>
      <w:szCs w:val="24"/>
    </w:rPr>
  </w:style>
  <w:style w:type="character" w:styleId="12">
    <w:name w:val="Strong"/>
    <w:basedOn w:val="11"/>
    <w:autoRedefine/>
    <w:qFormat/>
    <w:uiPriority w:val="22"/>
    <w:rPr>
      <w:b/>
      <w:bCs/>
    </w:rPr>
  </w:style>
  <w:style w:type="paragraph" w:customStyle="1" w:styleId="13">
    <w:name w:val="2级标题"/>
    <w:basedOn w:val="1"/>
    <w:autoRedefine/>
    <w:qFormat/>
    <w:uiPriority w:val="0"/>
    <w:pPr>
      <w:adjustRightInd w:val="0"/>
      <w:spacing w:before="60" w:line="460" w:lineRule="exact"/>
      <w:textAlignment w:val="baseline"/>
      <w:outlineLvl w:val="1"/>
    </w:pPr>
    <w:rPr>
      <w:rFonts w:ascii="Arial" w:hAnsi="Arial" w:eastAsia="宋体" w:cs="Times New Roman"/>
      <w:b/>
      <w:kern w:val="0"/>
      <w:sz w:val="28"/>
      <w:szCs w:val="20"/>
    </w:rPr>
  </w:style>
  <w:style w:type="character" w:customStyle="1" w:styleId="14">
    <w:name w:val="页眉 Char"/>
    <w:basedOn w:val="11"/>
    <w:link w:val="8"/>
    <w:autoRedefine/>
    <w:qFormat/>
    <w:uiPriority w:val="99"/>
    <w:rPr>
      <w:sz w:val="18"/>
      <w:szCs w:val="18"/>
    </w:rPr>
  </w:style>
  <w:style w:type="character" w:customStyle="1" w:styleId="15">
    <w:name w:val="页脚 Char"/>
    <w:basedOn w:val="11"/>
    <w:link w:val="7"/>
    <w:autoRedefine/>
    <w:qFormat/>
    <w:uiPriority w:val="99"/>
    <w:rPr>
      <w:sz w:val="18"/>
      <w:szCs w:val="18"/>
    </w:rPr>
  </w:style>
  <w:style w:type="paragraph" w:customStyle="1" w:styleId="16">
    <w:name w:val="表头"/>
    <w:basedOn w:val="1"/>
    <w:autoRedefine/>
    <w:qFormat/>
    <w:uiPriority w:val="0"/>
    <w:pPr>
      <w:spacing w:before="120"/>
      <w:jc w:val="center"/>
    </w:pPr>
    <w:rPr>
      <w:rFonts w:hAnsi="宋体"/>
      <w:b/>
      <w:bCs/>
      <w:color w:val="000000"/>
      <w:kern w:val="2"/>
      <w:sz w:val="21"/>
      <w:szCs w:val="24"/>
    </w:rPr>
  </w:style>
  <w:style w:type="paragraph" w:customStyle="1" w:styleId="17">
    <w:name w:val="表"/>
    <w:basedOn w:val="1"/>
    <w:autoRedefine/>
    <w:qFormat/>
    <w:uiPriority w:val="0"/>
    <w:pPr>
      <w:snapToGrid w:val="0"/>
      <w:jc w:val="center"/>
    </w:pPr>
    <w:rPr>
      <w:spacing w:val="2"/>
      <w:szCs w:val="20"/>
    </w:rPr>
  </w:style>
  <w:style w:type="paragraph" w:customStyle="1" w:styleId="18">
    <w:name w:val="图表标题"/>
    <w:basedOn w:val="1"/>
    <w:autoRedefine/>
    <w:qFormat/>
    <w:uiPriority w:val="0"/>
    <w:pPr>
      <w:spacing w:before="60" w:beforeLines="25" w:after="60" w:afterLines="25" w:line="360" w:lineRule="auto"/>
      <w:jc w:val="center"/>
      <w:outlineLvl w:val="4"/>
    </w:pPr>
    <w:rPr>
      <w:rFonts w:ascii="宋体" w:hAnsi="宋体"/>
      <w:b/>
      <w:kern w:val="2"/>
      <w:sz w:val="21"/>
      <w:szCs w:val="24"/>
    </w:rPr>
  </w:style>
  <w:style w:type="paragraph" w:customStyle="1" w:styleId="19">
    <w:name w:val="表格正文"/>
    <w:basedOn w:val="1"/>
    <w:autoRedefine/>
    <w:qFormat/>
    <w:uiPriority w:val="0"/>
    <w:pPr>
      <w:spacing w:line="360" w:lineRule="exact"/>
      <w:jc w:val="center"/>
    </w:pPr>
    <w:rPr>
      <w:kern w:val="2"/>
      <w:sz w:val="21"/>
      <w:szCs w:val="24"/>
    </w:rPr>
  </w:style>
  <w:style w:type="paragraph" w:customStyle="1" w:styleId="20">
    <w:name w:val="Table Paragraph"/>
    <w:basedOn w:val="1"/>
    <w:autoRedefine/>
    <w:qFormat/>
    <w:uiPriority w:val="1"/>
    <w:pPr>
      <w:jc w:val="center"/>
    </w:pPr>
    <w:rPr>
      <w:rFonts w:ascii="Times New Roman" w:hAnsi="Times New Roman" w:eastAsia="Times New Roman" w:cs="Times New Roman"/>
      <w:lang w:val="zh-CN" w:eastAsia="zh-CN" w:bidi="zh-CN"/>
    </w:rPr>
  </w:style>
  <w:style w:type="character" w:customStyle="1" w:styleId="21">
    <w:name w:val="font21"/>
    <w:basedOn w:val="11"/>
    <w:autoRedefine/>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Words>2982</Words>
  <Characters>3765</Characters>
  <Paragraphs>389</Paragraphs>
  <TotalTime>10</TotalTime>
  <ScaleCrop>false</ScaleCrop>
  <LinksUpToDate>false</LinksUpToDate>
  <CharactersWithSpaces>3816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2018-07-31T04:35:00Z</dcterms:created>
  <dc:creator>daxh1</dc:creator>
  <cp:lastModifiedBy>徐益忠</cp:lastModifiedBy>
  <cp:lastPrinted>2024-02-05T05:45:08Z</cp:lastPrinted>
  <dcterms:modified xsi:type="dcterms:W3CDTF">2024-02-05T05:58:57Z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A575A7CA21F14703B5B15444589C47A1_13</vt:lpwstr>
  </property>
</Properties>
</file>